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微软雅黑" w:hAnsi="微软雅黑" w:eastAsia="微软雅黑"/>
          <w:b/>
          <w:sz w:val="52"/>
        </w:rPr>
      </w:pPr>
      <w:r>
        <w:rPr>
          <w:rFonts w:ascii="微软雅黑" w:hAnsi="微软雅黑" w:eastAsia="微软雅黑"/>
          <w:b/>
          <w:sz w:val="52"/>
        </w:rPr>
        <w:t>企</w:t>
      </w:r>
      <w:r>
        <w:rPr>
          <w:rFonts w:hint="eastAsia" w:ascii="微软雅黑" w:hAnsi="微软雅黑" w:eastAsia="微软雅黑"/>
          <w:b/>
          <w:sz w:val="52"/>
        </w:rPr>
        <w:t xml:space="preserve"> </w:t>
      </w:r>
      <w:r>
        <w:rPr>
          <w:rFonts w:ascii="微软雅黑" w:hAnsi="微软雅黑" w:eastAsia="微软雅黑"/>
          <w:b/>
          <w:sz w:val="52"/>
        </w:rPr>
        <w:t>业</w:t>
      </w:r>
      <w:r>
        <w:rPr>
          <w:rFonts w:hint="eastAsia" w:ascii="微软雅黑" w:hAnsi="微软雅黑" w:eastAsia="微软雅黑"/>
          <w:b/>
          <w:sz w:val="52"/>
        </w:rPr>
        <w:t xml:space="preserve"> </w:t>
      </w:r>
      <w:r>
        <w:rPr>
          <w:rFonts w:ascii="微软雅黑" w:hAnsi="微软雅黑" w:eastAsia="微软雅黑"/>
          <w:b/>
          <w:sz w:val="52"/>
        </w:rPr>
        <w:t>质</w:t>
      </w:r>
      <w:r>
        <w:rPr>
          <w:rFonts w:hint="eastAsia" w:ascii="微软雅黑" w:hAnsi="微软雅黑" w:eastAsia="微软雅黑"/>
          <w:b/>
          <w:sz w:val="52"/>
        </w:rPr>
        <w:t xml:space="preserve"> </w:t>
      </w:r>
      <w:r>
        <w:rPr>
          <w:rFonts w:ascii="微软雅黑" w:hAnsi="微软雅黑" w:eastAsia="微软雅黑"/>
          <w:b/>
          <w:sz w:val="52"/>
        </w:rPr>
        <w:t>量</w:t>
      </w:r>
      <w:r>
        <w:rPr>
          <w:rFonts w:hint="eastAsia" w:ascii="微软雅黑" w:hAnsi="微软雅黑" w:eastAsia="微软雅黑"/>
          <w:b/>
          <w:sz w:val="52"/>
        </w:rPr>
        <w:t xml:space="preserve"> </w:t>
      </w:r>
      <w:r>
        <w:rPr>
          <w:rFonts w:ascii="微软雅黑" w:hAnsi="微软雅黑" w:eastAsia="微软雅黑"/>
          <w:b/>
          <w:sz w:val="52"/>
        </w:rPr>
        <w:t>信</w:t>
      </w:r>
      <w:r>
        <w:rPr>
          <w:rFonts w:hint="eastAsia" w:ascii="微软雅黑" w:hAnsi="微软雅黑" w:eastAsia="微软雅黑"/>
          <w:b/>
          <w:sz w:val="52"/>
        </w:rPr>
        <w:t xml:space="preserve"> </w:t>
      </w:r>
      <w:r>
        <w:rPr>
          <w:rFonts w:ascii="微软雅黑" w:hAnsi="微软雅黑" w:eastAsia="微软雅黑"/>
          <w:b/>
          <w:sz w:val="52"/>
        </w:rPr>
        <w:t>用</w:t>
      </w:r>
      <w:r>
        <w:rPr>
          <w:rFonts w:hint="eastAsia" w:ascii="微软雅黑" w:hAnsi="微软雅黑" w:eastAsia="微软雅黑"/>
          <w:b/>
          <w:sz w:val="52"/>
        </w:rPr>
        <w:t xml:space="preserve"> </w:t>
      </w:r>
      <w:r>
        <w:rPr>
          <w:rFonts w:ascii="微软雅黑" w:hAnsi="微软雅黑" w:eastAsia="微软雅黑"/>
          <w:b/>
          <w:sz w:val="52"/>
        </w:rPr>
        <w:t>报</w:t>
      </w:r>
      <w:r>
        <w:rPr>
          <w:rFonts w:hint="eastAsia" w:ascii="微软雅黑" w:hAnsi="微软雅黑" w:eastAsia="微软雅黑"/>
          <w:b/>
          <w:sz w:val="52"/>
        </w:rPr>
        <w:t xml:space="preserve"> </w:t>
      </w:r>
      <w:r>
        <w:rPr>
          <w:rFonts w:ascii="微软雅黑" w:hAnsi="微软雅黑" w:eastAsia="微软雅黑"/>
          <w:b/>
          <w:sz w:val="52"/>
        </w:rPr>
        <w:t>告</w:t>
      </w:r>
    </w:p>
    <w:p>
      <w:pPr>
        <w:jc w:val="center"/>
        <w:rPr>
          <w:rFonts w:ascii="微软雅黑" w:hAnsi="微软雅黑" w:eastAsia="微软雅黑"/>
          <w:b/>
          <w:sz w:val="40"/>
        </w:rPr>
      </w:pPr>
    </w:p>
    <w:p>
      <w:pPr>
        <w:jc w:val="center"/>
        <w:rPr>
          <w:rFonts w:ascii="微软雅黑" w:hAnsi="微软雅黑" w:eastAsia="微软雅黑"/>
          <w:b/>
          <w:sz w:val="40"/>
        </w:rPr>
      </w:pPr>
    </w:p>
    <w:p>
      <w:pPr>
        <w:jc w:val="center"/>
        <w:rPr>
          <w:rFonts w:ascii="微软雅黑" w:hAnsi="微软雅黑" w:eastAsia="微软雅黑"/>
          <w:b/>
          <w:sz w:val="40"/>
        </w:rPr>
      </w:pPr>
    </w:p>
    <w:p>
      <w:pPr>
        <w:jc w:val="center"/>
        <w:rPr>
          <w:rFonts w:ascii="微软雅黑" w:hAnsi="微软雅黑" w:eastAsia="微软雅黑"/>
          <w:b/>
          <w:sz w:val="40"/>
        </w:rPr>
      </w:pPr>
    </w:p>
    <w:p>
      <w:pPr>
        <w:jc w:val="center"/>
        <w:rPr>
          <w:rFonts w:ascii="微软雅黑" w:hAnsi="微软雅黑" w:eastAsia="微软雅黑"/>
          <w:sz w:val="24"/>
        </w:rPr>
      </w:pPr>
    </w:p>
    <w:p>
      <w:pPr>
        <w:jc w:val="center"/>
        <w:rPr>
          <w:rFonts w:ascii="微软雅黑" w:hAnsi="微软雅黑" w:eastAsia="微软雅黑"/>
          <w:sz w:val="24"/>
        </w:rPr>
      </w:pPr>
    </w:p>
    <w:p>
      <w:pPr>
        <w:jc w:val="center"/>
        <w:rPr>
          <w:rFonts w:ascii="微软雅黑" w:hAnsi="微软雅黑" w:eastAsia="微软雅黑"/>
          <w:sz w:val="24"/>
        </w:rPr>
      </w:pPr>
    </w:p>
    <w:p>
      <w:pPr>
        <w:jc w:val="center"/>
        <w:rPr>
          <w:rFonts w:ascii="微软雅黑" w:hAnsi="微软雅黑" w:eastAsia="微软雅黑"/>
          <w:sz w:val="28"/>
        </w:rPr>
      </w:pPr>
      <w:r>
        <w:rPr>
          <w:rFonts w:hint="eastAsia" w:ascii="微软雅黑" w:hAnsi="微软雅黑" w:eastAsia="微软雅黑"/>
          <w:sz w:val="28"/>
          <w:lang w:val="en-US" w:eastAsia="zh-CN"/>
        </w:rPr>
        <w:t>寰宇东方国际集装箱（启东）</w:t>
      </w:r>
      <w:r>
        <w:rPr>
          <w:rFonts w:hint="eastAsia" w:ascii="微软雅黑" w:hAnsi="微软雅黑" w:eastAsia="微软雅黑"/>
          <w:sz w:val="28"/>
        </w:rPr>
        <w:t>有限公司</w:t>
      </w:r>
    </w:p>
    <w:p>
      <w:pPr>
        <w:jc w:val="center"/>
        <w:rPr>
          <w:rFonts w:ascii="微软雅黑" w:hAnsi="微软雅黑" w:eastAsia="微软雅黑"/>
          <w:sz w:val="28"/>
        </w:rPr>
      </w:pPr>
    </w:p>
    <w:p>
      <w:pPr>
        <w:jc w:val="center"/>
        <w:rPr>
          <w:rFonts w:hint="eastAsia" w:ascii="微软雅黑" w:hAnsi="微软雅黑" w:eastAsia="微软雅黑"/>
          <w:sz w:val="28"/>
          <w:lang w:eastAsia="zh-CN"/>
        </w:rPr>
      </w:pPr>
      <w:r>
        <w:rPr>
          <w:rFonts w:hint="eastAsia" w:ascii="微软雅黑" w:hAnsi="微软雅黑" w:eastAsia="微软雅黑"/>
          <w:sz w:val="28"/>
        </w:rPr>
        <w:t>202</w:t>
      </w:r>
      <w:r>
        <w:rPr>
          <w:rFonts w:hint="eastAsia" w:ascii="微软雅黑" w:hAnsi="微软雅黑" w:eastAsia="微软雅黑"/>
          <w:sz w:val="28"/>
          <w:lang w:val="en-US" w:eastAsia="zh-CN"/>
        </w:rPr>
        <w:t>4</w:t>
      </w:r>
      <w:r>
        <w:rPr>
          <w:rFonts w:hint="eastAsia" w:ascii="微软雅黑" w:hAnsi="微软雅黑" w:eastAsia="微软雅黑"/>
          <w:sz w:val="28"/>
        </w:rPr>
        <w:t>-</w:t>
      </w:r>
      <w:r>
        <w:rPr>
          <w:rFonts w:hint="eastAsia" w:ascii="微软雅黑" w:hAnsi="微软雅黑" w:eastAsia="微软雅黑"/>
          <w:sz w:val="28"/>
          <w:lang w:val="en-US" w:eastAsia="zh-CN"/>
        </w:rPr>
        <w:t>4</w:t>
      </w:r>
      <w:r>
        <w:rPr>
          <w:rFonts w:hint="eastAsia" w:ascii="微软雅黑" w:hAnsi="微软雅黑" w:eastAsia="微软雅黑"/>
          <w:sz w:val="28"/>
        </w:rPr>
        <w:t>-</w:t>
      </w:r>
      <w:r>
        <w:rPr>
          <w:rFonts w:hint="eastAsia" w:ascii="微软雅黑" w:hAnsi="微软雅黑" w:eastAsia="微软雅黑"/>
          <w:sz w:val="28"/>
          <w:lang w:val="en-US" w:eastAsia="zh-CN"/>
        </w:rPr>
        <w:t>8</w:t>
      </w:r>
    </w:p>
    <w:p>
      <w:pPr>
        <w:jc w:val="center"/>
        <w:rPr>
          <w:rFonts w:ascii="微软雅黑" w:hAnsi="微软雅黑" w:eastAsia="微软雅黑"/>
          <w:sz w:val="24"/>
        </w:rPr>
      </w:pPr>
    </w:p>
    <w:p>
      <w:pPr>
        <w:jc w:val="center"/>
        <w:rPr>
          <w:rFonts w:ascii="微软雅黑" w:hAnsi="微软雅黑" w:eastAsia="微软雅黑"/>
          <w:sz w:val="24"/>
        </w:rPr>
      </w:pPr>
    </w:p>
    <w:p>
      <w:pPr>
        <w:jc w:val="center"/>
        <w:rPr>
          <w:rFonts w:ascii="微软雅黑" w:hAnsi="微软雅黑" w:eastAsia="微软雅黑"/>
          <w:sz w:val="24"/>
        </w:rPr>
      </w:pPr>
    </w:p>
    <w:p>
      <w:pPr>
        <w:jc w:val="center"/>
        <w:rPr>
          <w:rFonts w:ascii="微软雅黑" w:hAnsi="微软雅黑" w:eastAsia="微软雅黑"/>
          <w:sz w:val="24"/>
        </w:rPr>
      </w:pPr>
    </w:p>
    <w:p>
      <w:pPr>
        <w:jc w:val="center"/>
        <w:rPr>
          <w:rFonts w:ascii="微软雅黑" w:hAnsi="微软雅黑" w:eastAsia="微软雅黑"/>
          <w:b/>
          <w:sz w:val="28"/>
        </w:rPr>
      </w:pPr>
      <w:r>
        <w:rPr>
          <w:rFonts w:hint="eastAsia" w:ascii="微软雅黑" w:hAnsi="微软雅黑" w:eastAsia="微软雅黑"/>
          <w:b/>
          <w:sz w:val="28"/>
        </w:rPr>
        <w:t>前言</w:t>
      </w:r>
    </w:p>
    <w:p>
      <w:pPr>
        <w:jc w:val="left"/>
        <w:rPr>
          <w:rFonts w:ascii="微软雅黑" w:hAnsi="微软雅黑" w:eastAsia="微软雅黑"/>
          <w:sz w:val="24"/>
        </w:rPr>
      </w:pPr>
      <w:r>
        <w:rPr>
          <w:rFonts w:hint="eastAsia" w:ascii="微软雅黑" w:hAnsi="微软雅黑" w:eastAsia="微软雅黑"/>
          <w:b/>
          <w:sz w:val="24"/>
        </w:rPr>
        <w:t>报告内容客观性声明</w:t>
      </w:r>
      <w:r>
        <w:rPr>
          <w:rFonts w:hint="eastAsia" w:ascii="微软雅黑" w:hAnsi="微软雅黑" w:eastAsia="微软雅黑"/>
          <w:sz w:val="24"/>
        </w:rPr>
        <w:t>：</w:t>
      </w:r>
    </w:p>
    <w:p>
      <w:pPr>
        <w:jc w:val="left"/>
        <w:rPr>
          <w:rFonts w:hint="eastAsia" w:ascii="微软雅黑" w:hAnsi="微软雅黑" w:eastAsia="微软雅黑"/>
          <w:sz w:val="24"/>
        </w:rPr>
      </w:pPr>
      <w:r>
        <w:rPr>
          <w:rFonts w:hint="eastAsia" w:ascii="微软雅黑" w:hAnsi="微软雅黑" w:eastAsia="微软雅黑"/>
          <w:sz w:val="24"/>
        </w:rPr>
        <w:t xml:space="preserve">   </w:t>
      </w:r>
      <w:r>
        <w:rPr>
          <w:rFonts w:hint="eastAsia" w:ascii="微软雅黑" w:hAnsi="微软雅黑" w:eastAsia="微软雅黑"/>
          <w:sz w:val="24"/>
          <w:lang w:val="en-US" w:eastAsia="zh-CN"/>
        </w:rPr>
        <w:t>寰宇东方国际集装箱（启东）</w:t>
      </w:r>
      <w:r>
        <w:rPr>
          <w:rFonts w:hint="eastAsia" w:ascii="微软雅黑" w:hAnsi="微软雅黑" w:eastAsia="微软雅黑"/>
          <w:sz w:val="24"/>
        </w:rPr>
        <w:t>有限公司在本报告中：客观、真实、公正地公布了企业的信用信息。基于此，我们欢迎社会公众对我司公布的内容进行监督，提出意见和建议。</w:t>
      </w:r>
    </w:p>
    <w:p>
      <w:pPr>
        <w:jc w:val="left"/>
        <w:rPr>
          <w:rFonts w:hint="eastAsia" w:ascii="微软雅黑" w:hAnsi="微软雅黑" w:eastAsia="微软雅黑"/>
          <w:sz w:val="24"/>
        </w:rPr>
      </w:pPr>
    </w:p>
    <w:p>
      <w:pPr>
        <w:jc w:val="left"/>
        <w:rPr>
          <w:rFonts w:ascii="微软雅黑" w:hAnsi="微软雅黑" w:eastAsia="微软雅黑"/>
          <w:sz w:val="24"/>
        </w:rPr>
      </w:pPr>
      <w:r>
        <w:rPr>
          <w:rFonts w:hint="eastAsia" w:ascii="微软雅黑" w:hAnsi="微软雅黑" w:eastAsia="微软雅黑"/>
          <w:b/>
          <w:sz w:val="24"/>
        </w:rPr>
        <w:t>报告的组织范围</w:t>
      </w:r>
      <w:r>
        <w:rPr>
          <w:rFonts w:hint="eastAsia" w:ascii="微软雅黑" w:hAnsi="微软雅黑" w:eastAsia="微软雅黑"/>
          <w:sz w:val="24"/>
        </w:rPr>
        <w:t>：</w:t>
      </w:r>
    </w:p>
    <w:p>
      <w:pPr>
        <w:ind w:firstLine="480"/>
        <w:jc w:val="left"/>
        <w:rPr>
          <w:rFonts w:hint="eastAsia" w:ascii="微软雅黑" w:hAnsi="微软雅黑" w:eastAsia="微软雅黑"/>
          <w:sz w:val="24"/>
        </w:rPr>
      </w:pPr>
      <w:r>
        <w:rPr>
          <w:rFonts w:hint="eastAsia" w:ascii="微软雅黑" w:hAnsi="微软雅黑" w:eastAsia="微软雅黑"/>
          <w:sz w:val="24"/>
        </w:rPr>
        <w:t>本报告覆盖的</w:t>
      </w:r>
      <w:r>
        <w:rPr>
          <w:rFonts w:hint="eastAsia" w:ascii="微软雅黑" w:hAnsi="微软雅黑" w:eastAsia="微软雅黑"/>
          <w:sz w:val="24"/>
          <w:lang w:eastAsia="zh-CN"/>
        </w:rPr>
        <w:t>寰宇东方国际集装箱（启东）有限公司</w:t>
      </w:r>
      <w:r>
        <w:rPr>
          <w:rFonts w:hint="eastAsia" w:ascii="微软雅黑" w:hAnsi="微软雅黑" w:eastAsia="微软雅黑"/>
          <w:sz w:val="24"/>
        </w:rPr>
        <w:t>是本报告的责任主体。</w:t>
      </w:r>
    </w:p>
    <w:p>
      <w:pPr>
        <w:ind w:firstLine="480"/>
        <w:jc w:val="left"/>
        <w:rPr>
          <w:rFonts w:hint="eastAsia" w:ascii="微软雅黑" w:hAnsi="微软雅黑" w:eastAsia="微软雅黑"/>
          <w:sz w:val="24"/>
        </w:rPr>
      </w:pPr>
    </w:p>
    <w:p>
      <w:pPr>
        <w:jc w:val="left"/>
        <w:rPr>
          <w:rFonts w:ascii="微软雅黑" w:hAnsi="微软雅黑" w:eastAsia="微软雅黑"/>
          <w:sz w:val="24"/>
        </w:rPr>
      </w:pPr>
      <w:r>
        <w:rPr>
          <w:rFonts w:hint="eastAsia" w:ascii="微软雅黑" w:hAnsi="微软雅黑" w:eastAsia="微软雅黑"/>
          <w:b/>
          <w:sz w:val="24"/>
        </w:rPr>
        <w:t>报告时间范围</w:t>
      </w:r>
      <w:r>
        <w:rPr>
          <w:rFonts w:hint="eastAsia" w:ascii="微软雅黑" w:hAnsi="微软雅黑" w:eastAsia="微软雅黑"/>
          <w:sz w:val="24"/>
        </w:rPr>
        <w:t>：</w:t>
      </w:r>
    </w:p>
    <w:p>
      <w:pPr>
        <w:ind w:firstLine="480"/>
        <w:jc w:val="left"/>
        <w:rPr>
          <w:rFonts w:hint="eastAsia" w:ascii="微软雅黑" w:hAnsi="微软雅黑" w:eastAsia="微软雅黑"/>
          <w:sz w:val="24"/>
          <w:lang w:eastAsia="zh-CN"/>
        </w:rPr>
      </w:pPr>
      <w:r>
        <w:rPr>
          <w:rFonts w:hint="eastAsia" w:ascii="微软雅黑" w:hAnsi="微软雅黑" w:eastAsia="微软雅黑"/>
          <w:sz w:val="24"/>
        </w:rPr>
        <w:t>报告时间范围：202</w:t>
      </w:r>
      <w:r>
        <w:rPr>
          <w:rFonts w:hint="eastAsia" w:ascii="微软雅黑" w:hAnsi="微软雅黑" w:eastAsia="微软雅黑"/>
          <w:sz w:val="24"/>
          <w:lang w:val="en-US" w:eastAsia="zh-CN"/>
        </w:rPr>
        <w:t>3</w:t>
      </w:r>
      <w:r>
        <w:rPr>
          <w:rFonts w:hint="eastAsia" w:ascii="微软雅黑" w:hAnsi="微软雅黑" w:eastAsia="微软雅黑"/>
          <w:sz w:val="24"/>
        </w:rPr>
        <w:t>年1月</w:t>
      </w:r>
      <w:r>
        <w:rPr>
          <w:rFonts w:hint="eastAsia" w:ascii="微软雅黑" w:hAnsi="微软雅黑" w:eastAsia="微软雅黑"/>
          <w:sz w:val="24"/>
          <w:lang w:val="en-US" w:eastAsia="zh-CN"/>
        </w:rPr>
        <w:t>至</w:t>
      </w:r>
      <w:r>
        <w:rPr>
          <w:rFonts w:hint="eastAsia" w:ascii="微软雅黑" w:hAnsi="微软雅黑" w:eastAsia="微软雅黑"/>
          <w:sz w:val="24"/>
        </w:rPr>
        <w:t>202</w:t>
      </w:r>
      <w:r>
        <w:rPr>
          <w:rFonts w:hint="eastAsia" w:ascii="微软雅黑" w:hAnsi="微软雅黑" w:eastAsia="微软雅黑"/>
          <w:sz w:val="24"/>
          <w:lang w:val="en-US" w:eastAsia="zh-CN"/>
        </w:rPr>
        <w:t>3</w:t>
      </w:r>
      <w:r>
        <w:rPr>
          <w:rFonts w:hint="eastAsia" w:ascii="微软雅黑" w:hAnsi="微软雅黑" w:eastAsia="微软雅黑"/>
          <w:sz w:val="24"/>
        </w:rPr>
        <w:t>年12月</w:t>
      </w:r>
      <w:r>
        <w:rPr>
          <w:rFonts w:hint="eastAsia" w:ascii="微软雅黑" w:hAnsi="微软雅黑" w:eastAsia="微软雅黑"/>
          <w:sz w:val="24"/>
          <w:lang w:eastAsia="zh-CN"/>
        </w:rPr>
        <w:t>。</w:t>
      </w:r>
    </w:p>
    <w:p>
      <w:pPr>
        <w:ind w:firstLine="480"/>
        <w:jc w:val="left"/>
        <w:rPr>
          <w:rFonts w:hint="eastAsia" w:ascii="微软雅黑" w:hAnsi="微软雅黑" w:eastAsia="微软雅黑"/>
          <w:sz w:val="24"/>
          <w:lang w:eastAsia="zh-CN"/>
        </w:rPr>
      </w:pPr>
    </w:p>
    <w:p>
      <w:pPr>
        <w:jc w:val="left"/>
        <w:rPr>
          <w:rFonts w:ascii="微软雅黑" w:hAnsi="微软雅黑" w:eastAsia="微软雅黑"/>
          <w:b/>
          <w:sz w:val="24"/>
        </w:rPr>
      </w:pPr>
      <w:r>
        <w:rPr>
          <w:rFonts w:hint="eastAsia" w:ascii="微软雅黑" w:hAnsi="微软雅黑" w:eastAsia="微软雅黑"/>
          <w:b/>
          <w:sz w:val="24"/>
        </w:rPr>
        <w:t>报告发布周期：</w:t>
      </w:r>
    </w:p>
    <w:p>
      <w:pPr>
        <w:ind w:firstLine="480"/>
        <w:jc w:val="left"/>
        <w:rPr>
          <w:rFonts w:hint="eastAsia" w:ascii="微软雅黑" w:hAnsi="微软雅黑" w:eastAsia="微软雅黑"/>
          <w:sz w:val="24"/>
          <w:lang w:eastAsia="zh-CN"/>
        </w:rPr>
      </w:pPr>
      <w:r>
        <w:rPr>
          <w:rFonts w:hint="eastAsia" w:ascii="微软雅黑" w:hAnsi="微软雅黑" w:eastAsia="微软雅黑"/>
          <w:sz w:val="24"/>
        </w:rPr>
        <w:t>本公司以1年为周期，并将根据实际情况动态更新报告内容。</w:t>
      </w:r>
      <w:r>
        <w:rPr>
          <w:rFonts w:hint="eastAsia" w:ascii="微软雅黑" w:hAnsi="微软雅黑" w:eastAsia="微软雅黑"/>
          <w:sz w:val="24"/>
          <w:lang w:val="en-US" w:eastAsia="zh-CN"/>
        </w:rPr>
        <w:t>本</w:t>
      </w:r>
      <w:r>
        <w:rPr>
          <w:rFonts w:hint="eastAsia" w:ascii="微软雅黑" w:hAnsi="微软雅黑" w:eastAsia="微软雅黑"/>
          <w:sz w:val="24"/>
        </w:rPr>
        <w:t>期报告发布时间为202</w:t>
      </w:r>
      <w:r>
        <w:rPr>
          <w:rFonts w:hint="eastAsia" w:ascii="微软雅黑" w:hAnsi="微软雅黑" w:eastAsia="微软雅黑"/>
          <w:sz w:val="24"/>
          <w:lang w:val="en-US" w:eastAsia="zh-CN"/>
        </w:rPr>
        <w:t>4</w:t>
      </w:r>
      <w:r>
        <w:rPr>
          <w:rFonts w:hint="eastAsia" w:ascii="微软雅黑" w:hAnsi="微软雅黑" w:eastAsia="微软雅黑"/>
          <w:sz w:val="24"/>
        </w:rPr>
        <w:t>年</w:t>
      </w:r>
      <w:r>
        <w:rPr>
          <w:rFonts w:hint="eastAsia" w:ascii="微软雅黑" w:hAnsi="微软雅黑" w:eastAsia="微软雅黑"/>
          <w:sz w:val="24"/>
          <w:lang w:val="en-US" w:eastAsia="zh-CN"/>
        </w:rPr>
        <w:t>4</w:t>
      </w:r>
      <w:r>
        <w:rPr>
          <w:rFonts w:hint="eastAsia" w:ascii="微软雅黑" w:hAnsi="微软雅黑" w:eastAsia="微软雅黑"/>
          <w:sz w:val="24"/>
        </w:rPr>
        <w:t>月</w:t>
      </w:r>
      <w:r>
        <w:rPr>
          <w:rFonts w:hint="eastAsia" w:ascii="微软雅黑" w:hAnsi="微软雅黑" w:eastAsia="微软雅黑"/>
          <w:sz w:val="24"/>
          <w:lang w:eastAsia="zh-CN"/>
        </w:rPr>
        <w:t>。</w:t>
      </w:r>
    </w:p>
    <w:p>
      <w:pPr>
        <w:ind w:firstLine="480"/>
        <w:jc w:val="left"/>
        <w:rPr>
          <w:rFonts w:ascii="微软雅黑" w:hAnsi="微软雅黑" w:eastAsia="微软雅黑"/>
          <w:sz w:val="24"/>
        </w:rPr>
      </w:pPr>
    </w:p>
    <w:p>
      <w:pPr>
        <w:jc w:val="left"/>
        <w:rPr>
          <w:rFonts w:ascii="微软雅黑" w:hAnsi="微软雅黑" w:eastAsia="微软雅黑"/>
          <w:sz w:val="24"/>
        </w:rPr>
      </w:pPr>
      <w:r>
        <w:rPr>
          <w:rFonts w:hint="eastAsia" w:ascii="微软雅黑" w:hAnsi="微软雅黑" w:eastAsia="微软雅黑"/>
          <w:b/>
          <w:sz w:val="24"/>
        </w:rPr>
        <w:t>报告数据说明</w:t>
      </w:r>
      <w:r>
        <w:rPr>
          <w:rFonts w:hint="eastAsia" w:ascii="微软雅黑" w:hAnsi="微软雅黑" w:eastAsia="微软雅黑"/>
          <w:sz w:val="24"/>
        </w:rPr>
        <w:t>：</w:t>
      </w:r>
    </w:p>
    <w:p>
      <w:pPr>
        <w:ind w:firstLine="480" w:firstLineChars="200"/>
        <w:jc w:val="left"/>
        <w:rPr>
          <w:rFonts w:hint="eastAsia" w:ascii="微软雅黑" w:hAnsi="微软雅黑" w:eastAsia="微软雅黑"/>
          <w:sz w:val="24"/>
        </w:rPr>
      </w:pPr>
      <w:r>
        <w:rPr>
          <w:rFonts w:hint="eastAsia" w:ascii="微软雅黑" w:hAnsi="微软雅黑" w:eastAsia="微软雅黑"/>
          <w:sz w:val="24"/>
        </w:rPr>
        <w:t>本报告公布了基本的企业信息数据项，包括基本信息，经营管理信息、财务信息、银行往来信息、提示信息和其他信息。这些均来自于对企业相关记录的整理、收集和分析。因此信息质量可靠，经得起审核验证。</w:t>
      </w:r>
    </w:p>
    <w:p>
      <w:pPr>
        <w:jc w:val="left"/>
        <w:rPr>
          <w:rFonts w:hint="eastAsia" w:ascii="微软雅黑" w:hAnsi="微软雅黑" w:eastAsia="微软雅黑"/>
          <w:b/>
          <w:bCs/>
          <w:sz w:val="24"/>
        </w:rPr>
      </w:pPr>
      <w:r>
        <w:rPr>
          <w:rFonts w:hint="eastAsia" w:ascii="微软雅黑" w:hAnsi="微软雅黑" w:eastAsia="微软雅黑"/>
          <w:b/>
          <w:bCs/>
          <w:sz w:val="24"/>
        </w:rPr>
        <w:t>报告获取方式：</w:t>
      </w:r>
    </w:p>
    <w:p>
      <w:pPr>
        <w:ind w:firstLine="480" w:firstLineChars="200"/>
        <w:jc w:val="left"/>
        <w:rPr>
          <w:rFonts w:hint="eastAsia" w:ascii="微软雅黑" w:hAnsi="微软雅黑" w:eastAsia="微软雅黑"/>
          <w:sz w:val="24"/>
        </w:rPr>
      </w:pPr>
      <w:r>
        <w:rPr>
          <w:rFonts w:hint="eastAsia" w:ascii="微软雅黑" w:hAnsi="微软雅黑" w:eastAsia="微软雅黑"/>
          <w:sz w:val="24"/>
        </w:rPr>
        <w:t>消费者、供应商、经销商、监管部门等各类利益和责任相关方，可以拨打我公司服务热线：86-</w:t>
      </w:r>
      <w:r>
        <w:t xml:space="preserve"> </w:t>
      </w:r>
      <w:r>
        <w:rPr>
          <w:rFonts w:hint="eastAsia" w:ascii="微软雅黑" w:hAnsi="微软雅黑" w:eastAsia="微软雅黑"/>
          <w:sz w:val="24"/>
        </w:rPr>
        <w:t>513-83688287联系本公司获取书面形式的报告。</w:t>
      </w:r>
    </w:p>
    <w:p>
      <w:pPr>
        <w:jc w:val="left"/>
        <w:rPr>
          <w:rFonts w:ascii="微软雅黑" w:hAnsi="微软雅黑" w:eastAsia="微软雅黑"/>
          <w:sz w:val="24"/>
        </w:rPr>
      </w:pPr>
      <w:r>
        <w:rPr>
          <w:rFonts w:hint="eastAsia" w:ascii="微软雅黑" w:hAnsi="微软雅黑" w:eastAsia="微软雅黑"/>
          <w:b/>
          <w:sz w:val="24"/>
        </w:rPr>
        <w:t>高层致辞</w:t>
      </w:r>
      <w:r>
        <w:rPr>
          <w:rFonts w:hint="eastAsia" w:ascii="微软雅黑" w:hAnsi="微软雅黑" w:eastAsia="微软雅黑"/>
          <w:sz w:val="24"/>
          <w:lang w:eastAsia="zh-CN"/>
        </w:rPr>
        <w:t>：</w:t>
      </w:r>
      <w:r>
        <w:rPr>
          <w:rFonts w:hint="eastAsia" w:ascii="微软雅黑" w:hAnsi="微软雅黑" w:eastAsia="微软雅黑"/>
          <w:sz w:val="24"/>
          <w:lang w:val="en-US" w:eastAsia="zh-CN"/>
        </w:rPr>
        <w:t>寰宇东方国际集装箱（</w:t>
      </w:r>
      <w:r>
        <w:rPr>
          <w:rFonts w:hint="eastAsia" w:ascii="微软雅黑" w:hAnsi="微软雅黑" w:eastAsia="微软雅黑"/>
          <w:sz w:val="24"/>
        </w:rPr>
        <w:t>启东</w:t>
      </w:r>
      <w:r>
        <w:rPr>
          <w:rFonts w:hint="eastAsia" w:ascii="微软雅黑" w:hAnsi="微软雅黑" w:eastAsia="微软雅黑"/>
          <w:sz w:val="24"/>
          <w:lang w:eastAsia="zh-CN"/>
        </w:rPr>
        <w:t>）</w:t>
      </w:r>
      <w:r>
        <w:rPr>
          <w:rFonts w:hint="eastAsia" w:ascii="微软雅黑" w:hAnsi="微软雅黑" w:eastAsia="微软雅黑"/>
          <w:sz w:val="24"/>
          <w:lang w:val="en-US" w:eastAsia="zh-CN"/>
        </w:rPr>
        <w:t>有限公司</w:t>
      </w:r>
      <w:r>
        <w:rPr>
          <w:rFonts w:hint="eastAsia" w:ascii="微软雅黑" w:hAnsi="微软雅黑" w:eastAsia="微软雅黑"/>
          <w:sz w:val="24"/>
        </w:rPr>
        <w:t>以党的二十大精神为引领，坚持以习近平新时代中国特色社会主义思想为指导，增强“四个意识”，坚定“四个自信”，做到“两个维护”，牢记“国之大者”，勇于担当作为</w:t>
      </w:r>
      <w:r>
        <w:rPr>
          <w:rFonts w:hint="eastAsia" w:ascii="微软雅黑" w:hAnsi="微软雅黑" w:eastAsia="微软雅黑"/>
          <w:sz w:val="24"/>
          <w:lang w:eastAsia="zh-CN"/>
        </w:rPr>
        <w:t>；</w:t>
      </w:r>
      <w:r>
        <w:rPr>
          <w:rFonts w:hint="eastAsia" w:ascii="微软雅黑" w:hAnsi="微软雅黑" w:eastAsia="微软雅黑"/>
          <w:sz w:val="24"/>
        </w:rPr>
        <w:t xml:space="preserve">聚焦集团“四个领航”要求，紧跟上海寰宇“三二一”发展战略，围绕“紧盯高质量发展目标，做华东地区集装箱行业核心供应商”、“为全球新能源装备打造最美铠甲”战略目标，全面贯彻落实集团、中远海运发展、上海寰宇各项工作要求，顺应绿色低碳智能发展趋势，进一步推进数字化、信息化、智能化工厂建设，深耕创新高质量发展，追求卓越品质，擦亮企业品牌，不断创造新的价值。     </w:t>
      </w:r>
    </w:p>
    <w:p>
      <w:pPr>
        <w:jc w:val="right"/>
        <w:rPr>
          <w:rFonts w:hint="default" w:ascii="微软雅黑" w:hAnsi="微软雅黑" w:eastAsia="微软雅黑"/>
          <w:sz w:val="24"/>
          <w:lang w:val="en-US" w:eastAsia="zh-CN"/>
        </w:rPr>
      </w:pPr>
      <w:r>
        <w:rPr>
          <w:rFonts w:hint="eastAsia" w:ascii="微软雅黑" w:hAnsi="微软雅黑" w:eastAsia="微软雅黑"/>
          <w:sz w:val="24"/>
        </w:rPr>
        <w:t xml:space="preserve">                                     ——公司</w:t>
      </w:r>
      <w:r>
        <w:rPr>
          <w:rFonts w:hint="eastAsia" w:ascii="微软雅黑" w:hAnsi="微软雅黑" w:eastAsia="微软雅黑"/>
          <w:sz w:val="24"/>
          <w:lang w:val="en-US" w:eastAsia="zh-CN"/>
        </w:rPr>
        <w:t>执行董事</w:t>
      </w:r>
      <w:r>
        <w:rPr>
          <w:rFonts w:hint="eastAsia" w:ascii="微软雅黑" w:hAnsi="微软雅黑" w:eastAsia="微软雅黑"/>
          <w:sz w:val="24"/>
        </w:rPr>
        <w:t>：</w:t>
      </w:r>
      <w:r>
        <w:rPr>
          <w:rFonts w:hint="eastAsia" w:ascii="微软雅黑" w:hAnsi="微软雅黑" w:eastAsia="微软雅黑"/>
          <w:sz w:val="24"/>
          <w:lang w:val="en-US" w:eastAsia="zh-CN"/>
        </w:rPr>
        <w:t>张敏</w:t>
      </w: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bookmarkStart w:id="21" w:name="_GoBack"/>
      <w:bookmarkEnd w:id="21"/>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hint="eastAsia" w:ascii="微软雅黑" w:hAnsi="微软雅黑" w:eastAsia="微软雅黑"/>
          <w:sz w:val="24"/>
        </w:rPr>
      </w:pPr>
    </w:p>
    <w:p>
      <w:pPr>
        <w:jc w:val="left"/>
        <w:rPr>
          <w:rFonts w:ascii="微软雅黑" w:hAnsi="微软雅黑" w:eastAsia="微软雅黑"/>
          <w:b/>
          <w:sz w:val="24"/>
        </w:rPr>
      </w:pPr>
      <w:r>
        <w:rPr>
          <w:rFonts w:hint="eastAsia" w:ascii="微软雅黑" w:hAnsi="微软雅黑" w:eastAsia="微软雅黑"/>
          <w:b/>
          <w:sz w:val="24"/>
        </w:rPr>
        <w:t>企业简介：</w:t>
      </w:r>
    </w:p>
    <w:p>
      <w:pPr>
        <w:ind w:firstLine="480" w:firstLineChars="200"/>
        <w:rPr>
          <w:rFonts w:hint="eastAsia" w:ascii="微软雅黑" w:hAnsi="微软雅黑" w:eastAsia="微软雅黑"/>
          <w:sz w:val="24"/>
          <w:lang w:eastAsia="zh-CN"/>
        </w:rPr>
      </w:pPr>
      <w:r>
        <w:rPr>
          <w:rFonts w:hint="eastAsia" w:ascii="微软雅黑" w:hAnsi="微软雅黑" w:eastAsia="微软雅黑"/>
          <w:sz w:val="24"/>
          <w:lang w:eastAsia="zh-CN"/>
        </w:rPr>
        <w:t>寰宇东方国际集装箱（启东）有限公司于2011年开工建设，2019年由全球最大航运公司中远海运集团全资收购，并由其下属的中远海运发展所属上海寰宇物流装备有限公司统一经营管理。公</w:t>
      </w:r>
      <w:r>
        <w:rPr>
          <w:rFonts w:hint="eastAsia" w:ascii="微软雅黑" w:hAnsi="微软雅黑" w:eastAsia="微软雅黑"/>
          <w:sz w:val="24"/>
          <w:highlight w:val="none"/>
          <w:lang w:eastAsia="zh-CN"/>
        </w:rPr>
        <w:t>司注册资金14.1亿元人民币，占地面积102万平方米，现有员工</w:t>
      </w:r>
      <w:r>
        <w:rPr>
          <w:rFonts w:hint="eastAsia" w:ascii="微软雅黑" w:hAnsi="微软雅黑" w:eastAsia="微软雅黑"/>
          <w:sz w:val="24"/>
          <w:highlight w:val="none"/>
          <w:lang w:val="en-US" w:eastAsia="zh-CN"/>
        </w:rPr>
        <w:t>40</w:t>
      </w:r>
      <w:r>
        <w:rPr>
          <w:rFonts w:hint="eastAsia" w:ascii="微软雅黑" w:hAnsi="微软雅黑" w:eastAsia="微软雅黑"/>
          <w:sz w:val="24"/>
          <w:highlight w:val="none"/>
          <w:lang w:eastAsia="zh-CN"/>
        </w:rPr>
        <w:t>00余人，其中一线直接生产人员近</w:t>
      </w:r>
      <w:r>
        <w:rPr>
          <w:rFonts w:hint="eastAsia" w:ascii="微软雅黑" w:hAnsi="微软雅黑" w:eastAsia="微软雅黑"/>
          <w:sz w:val="24"/>
          <w:highlight w:val="none"/>
          <w:lang w:val="en-US" w:eastAsia="zh-CN"/>
        </w:rPr>
        <w:t>3</w:t>
      </w:r>
      <w:r>
        <w:rPr>
          <w:rFonts w:hint="eastAsia" w:ascii="微软雅黑" w:hAnsi="微软雅黑" w:eastAsia="微软雅黑"/>
          <w:sz w:val="24"/>
          <w:highlight w:val="none"/>
          <w:lang w:eastAsia="zh-CN"/>
        </w:rPr>
        <w:t>000人。拥有干、冷、特多条生产线，年生产各</w:t>
      </w:r>
      <w:r>
        <w:rPr>
          <w:rFonts w:hint="eastAsia" w:ascii="微软雅黑" w:hAnsi="微软雅黑" w:eastAsia="微软雅黑"/>
          <w:sz w:val="24"/>
          <w:lang w:eastAsia="zh-CN"/>
        </w:rPr>
        <w:t>类干货集装箱、冷藏集装箱及特种集装箱超30万标箱，综合生产能力位于全球前列。</w:t>
      </w:r>
    </w:p>
    <w:p>
      <w:pPr>
        <w:ind w:firstLine="480" w:firstLineChars="200"/>
        <w:rPr>
          <w:rFonts w:hint="eastAsia" w:ascii="微软雅黑" w:hAnsi="微软雅黑" w:eastAsia="微软雅黑"/>
          <w:sz w:val="24"/>
          <w:lang w:eastAsia="zh-CN"/>
        </w:rPr>
      </w:pPr>
      <w:r>
        <w:rPr>
          <w:rFonts w:hint="eastAsia" w:ascii="微软雅黑" w:hAnsi="微软雅黑" w:eastAsia="微软雅黑"/>
          <w:sz w:val="24"/>
          <w:lang w:eastAsia="zh-CN"/>
        </w:rPr>
        <w:t>公司地处长江入海口附近的上海与江苏省南通市启东市交界的长江北岸，占据着长三角经济圈、沪苏通融合共进的发展大通道，距离浦东直线仅50公里，具有北沿江高铁及黄金水道港口等便利的交通条件。凭借独特的地理优势，公司自主经营公共码头，设3个泊位，可挂靠5000吨级船舶，年吞吐量45万TEU，散货70万吨以上。公司同步设有海关监管堆场，集装箱可直接外运，目前交箱点已涵盖了上海及长江沿线多个水路港口。</w:t>
      </w:r>
    </w:p>
    <w:p>
      <w:pPr>
        <w:ind w:firstLine="480" w:firstLineChars="200"/>
        <w:rPr>
          <w:rFonts w:ascii="微软雅黑" w:hAnsi="微软雅黑" w:eastAsia="微软雅黑"/>
          <w:sz w:val="24"/>
        </w:rPr>
      </w:pPr>
      <w:r>
        <w:rPr>
          <w:rFonts w:hint="eastAsia" w:ascii="微软雅黑" w:hAnsi="微软雅黑" w:eastAsia="微软雅黑"/>
          <w:sz w:val="24"/>
          <w:lang w:eastAsia="zh-CN"/>
        </w:rPr>
        <w:t>公司拥有优秀的管理团队和高素质专业化的研发团队，积极发挥工艺创新中心、设备工程中心、产品研发中心的作用，逐步激发中心智慧活力，不断提升公司核心竞争力。2021年公司抓住机遇，迎难而上，有效组织生产经营，保障客户用箱需求，助力“六稳六保”发展，销售收入历史性突破一百亿元，成为启东市第一家销售过百亿的工业制造企业。</w:t>
      </w:r>
    </w:p>
    <w:p>
      <w:pPr>
        <w:jc w:val="left"/>
        <w:rPr>
          <w:rFonts w:hint="eastAsia" w:ascii="微软雅黑" w:hAnsi="微软雅黑" w:eastAsia="微软雅黑"/>
          <w:sz w:val="24"/>
          <w:lang w:eastAsia="zh-CN"/>
        </w:rPr>
      </w:pPr>
      <w:bookmarkStart w:id="0" w:name="OLE_LINK1"/>
      <w:r>
        <w:rPr>
          <w:rFonts w:hint="eastAsia" w:ascii="微软雅黑" w:hAnsi="微软雅黑" w:eastAsia="微软雅黑"/>
          <w:b/>
          <w:bCs/>
          <w:sz w:val="24"/>
        </w:rPr>
        <w:t>企业名称</w:t>
      </w:r>
      <w:r>
        <w:rPr>
          <w:rFonts w:hint="eastAsia" w:ascii="微软雅黑" w:hAnsi="微软雅黑" w:eastAsia="微软雅黑"/>
          <w:b w:val="0"/>
          <w:bCs w:val="0"/>
          <w:sz w:val="24"/>
        </w:rPr>
        <w:t>：</w:t>
      </w:r>
      <w:r>
        <w:rPr>
          <w:rFonts w:hint="eastAsia" w:ascii="微软雅黑" w:hAnsi="微软雅黑" w:eastAsia="微软雅黑"/>
          <w:sz w:val="24"/>
          <w:lang w:eastAsia="zh-CN"/>
        </w:rPr>
        <w:t>寰宇东方国际集装箱（启东）有限公司</w:t>
      </w:r>
    </w:p>
    <w:p>
      <w:pPr>
        <w:jc w:val="left"/>
        <w:rPr>
          <w:rFonts w:ascii="微软雅黑" w:hAnsi="微软雅黑" w:eastAsia="微软雅黑"/>
          <w:sz w:val="24"/>
          <w:highlight w:val="none"/>
        </w:rPr>
      </w:pPr>
      <w:r>
        <w:rPr>
          <w:rFonts w:hint="eastAsia" w:ascii="微软雅黑" w:hAnsi="微软雅黑" w:eastAsia="微软雅黑"/>
          <w:b/>
          <w:bCs/>
          <w:sz w:val="24"/>
          <w:highlight w:val="none"/>
        </w:rPr>
        <w:t>所有权性质</w:t>
      </w:r>
      <w:r>
        <w:rPr>
          <w:rFonts w:hint="eastAsia" w:ascii="微软雅黑" w:hAnsi="微软雅黑" w:eastAsia="微软雅黑"/>
          <w:b w:val="0"/>
          <w:bCs w:val="0"/>
          <w:sz w:val="24"/>
          <w:highlight w:val="none"/>
        </w:rPr>
        <w:t>：</w:t>
      </w:r>
      <w:r>
        <w:rPr>
          <w:rFonts w:hint="eastAsia" w:ascii="微软雅黑" w:hAnsi="微软雅黑" w:eastAsia="微软雅黑"/>
          <w:sz w:val="24"/>
          <w:highlight w:val="none"/>
        </w:rPr>
        <w:t>国资央企</w:t>
      </w:r>
    </w:p>
    <w:bookmarkEnd w:id="0"/>
    <w:p>
      <w:pPr>
        <w:jc w:val="left"/>
        <w:rPr>
          <w:rFonts w:ascii="微软雅黑" w:hAnsi="微软雅黑" w:eastAsia="微软雅黑"/>
          <w:sz w:val="24"/>
        </w:rPr>
      </w:pPr>
      <w:r>
        <w:rPr>
          <w:rFonts w:hint="eastAsia" w:ascii="微软雅黑" w:hAnsi="微软雅黑" w:eastAsia="微软雅黑"/>
          <w:b/>
          <w:sz w:val="24"/>
        </w:rPr>
        <w:t>公司所在地</w:t>
      </w:r>
      <w:r>
        <w:rPr>
          <w:rFonts w:hint="eastAsia" w:ascii="微软雅黑" w:hAnsi="微软雅黑" w:eastAsia="微软雅黑"/>
          <w:b w:val="0"/>
          <w:bCs w:val="0"/>
          <w:sz w:val="24"/>
        </w:rPr>
        <w:t>：</w:t>
      </w:r>
      <w:r>
        <w:rPr>
          <w:rFonts w:hint="eastAsia" w:ascii="微软雅黑" w:hAnsi="微软雅黑" w:eastAsia="微软雅黑"/>
          <w:sz w:val="24"/>
        </w:rPr>
        <w:t>江苏省</w:t>
      </w:r>
      <w:r>
        <w:rPr>
          <w:rFonts w:ascii="微软雅黑" w:hAnsi="微软雅黑" w:eastAsia="微软雅黑"/>
          <w:sz w:val="24"/>
        </w:rPr>
        <w:t>启东市</w:t>
      </w:r>
      <w:r>
        <w:rPr>
          <w:rFonts w:hint="eastAsia" w:ascii="微软雅黑" w:hAnsi="微软雅黑" w:eastAsia="微软雅黑"/>
          <w:sz w:val="24"/>
        </w:rPr>
        <w:t>海工船舶工业园卓越路1号</w:t>
      </w:r>
    </w:p>
    <w:p>
      <w:pPr>
        <w:jc w:val="left"/>
        <w:rPr>
          <w:rFonts w:hint="default" w:ascii="微软雅黑" w:hAnsi="微软雅黑" w:eastAsia="微软雅黑"/>
          <w:sz w:val="24"/>
          <w:lang w:val="en-US" w:eastAsia="zh-CN"/>
        </w:rPr>
      </w:pPr>
      <w:r>
        <w:rPr>
          <w:rFonts w:hint="eastAsia" w:ascii="微软雅黑" w:hAnsi="微软雅黑" w:eastAsia="微软雅黑"/>
          <w:b/>
          <w:sz w:val="24"/>
        </w:rPr>
        <w:t>主要产品和服务</w:t>
      </w:r>
      <w:r>
        <w:rPr>
          <w:rFonts w:hint="eastAsia" w:ascii="微软雅黑" w:hAnsi="微软雅黑" w:eastAsia="微软雅黑"/>
          <w:sz w:val="24"/>
        </w:rPr>
        <w:t>：集装箱</w:t>
      </w:r>
      <w:r>
        <w:rPr>
          <w:rFonts w:hint="eastAsia" w:ascii="微软雅黑" w:hAnsi="微软雅黑" w:eastAsia="微软雅黑"/>
          <w:sz w:val="24"/>
          <w:lang w:eastAsia="zh-CN"/>
        </w:rPr>
        <w:t>、</w:t>
      </w:r>
      <w:r>
        <w:rPr>
          <w:rFonts w:hint="eastAsia" w:ascii="微软雅黑" w:hAnsi="微软雅黑" w:eastAsia="微软雅黑"/>
          <w:sz w:val="24"/>
          <w:lang w:val="en-US" w:eastAsia="zh-CN"/>
        </w:rPr>
        <w:t>近海</w:t>
      </w:r>
      <w:r>
        <w:rPr>
          <w:rFonts w:hint="eastAsia" w:ascii="微软雅黑" w:hAnsi="微软雅黑" w:eastAsia="微软雅黑"/>
          <w:sz w:val="24"/>
          <w:lang w:eastAsia="zh-CN"/>
        </w:rPr>
        <w:t>集装箱、</w:t>
      </w:r>
      <w:r>
        <w:rPr>
          <w:rFonts w:hint="eastAsia" w:ascii="微软雅黑" w:hAnsi="微软雅黑" w:eastAsia="微软雅黑"/>
          <w:sz w:val="24"/>
          <w:lang w:val="en-US" w:eastAsia="zh-CN"/>
        </w:rPr>
        <w:t>特种箱设计、制造、销售、配送等</w:t>
      </w:r>
    </w:p>
    <w:p>
      <w:pPr>
        <w:rPr>
          <w:rFonts w:hint="eastAsia" w:ascii="微软雅黑" w:hAnsi="微软雅黑" w:eastAsia="微软雅黑"/>
          <w:sz w:val="24"/>
          <w:lang w:val="en-US" w:eastAsia="zh-CN"/>
        </w:rPr>
      </w:pPr>
      <w:r>
        <w:rPr>
          <w:rFonts w:hint="eastAsia" w:ascii="微软雅黑" w:hAnsi="微软雅黑" w:eastAsia="微软雅黑"/>
          <w:sz w:val="24"/>
          <w:lang w:val="en-US" w:eastAsia="zh-CN"/>
        </w:rPr>
        <w:br w:type="page"/>
      </w:r>
    </w:p>
    <w:sdt>
      <w:sdtPr>
        <w:rPr>
          <w:rFonts w:asciiTheme="minorHAnsi" w:hAnsiTheme="minorHAnsi" w:eastAsiaTheme="minorEastAsia" w:cstheme="minorBidi"/>
          <w:b w:val="0"/>
          <w:bCs w:val="0"/>
          <w:color w:val="auto"/>
          <w:kern w:val="2"/>
          <w:sz w:val="21"/>
          <w:szCs w:val="22"/>
          <w:lang w:val="zh-CN"/>
        </w:rPr>
        <w:id w:val="-1067267662"/>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4"/>
            <w:jc w:val="center"/>
            <w:rPr>
              <w:sz w:val="32"/>
              <w:szCs w:val="32"/>
            </w:rPr>
          </w:pPr>
          <w:r>
            <w:rPr>
              <w:sz w:val="32"/>
              <w:szCs w:val="32"/>
              <w:lang w:val="zh-CN"/>
            </w:rPr>
            <w:t>目录</w:t>
          </w:r>
        </w:p>
        <w:p>
          <w:pPr>
            <w:pStyle w:val="12"/>
            <w:tabs>
              <w:tab w:val="right" w:leader="dot" w:pos="9214"/>
            </w:tabs>
          </w:pPr>
          <w:r>
            <w:fldChar w:fldCharType="begin"/>
          </w:r>
          <w:r>
            <w:instrText xml:space="preserve"> TOC \o "1-3" \h \z \u </w:instrText>
          </w:r>
          <w:r>
            <w:fldChar w:fldCharType="separate"/>
          </w:r>
          <w:r>
            <w:fldChar w:fldCharType="begin"/>
          </w:r>
          <w:r>
            <w:instrText xml:space="preserve"> HYPERLINK \l _Toc6159 </w:instrText>
          </w:r>
          <w:r>
            <w:fldChar w:fldCharType="separate"/>
          </w:r>
          <w:r>
            <w:rPr>
              <w:rFonts w:hint="eastAsia"/>
              <w:lang w:val="en-US" w:eastAsia="zh-CN"/>
            </w:rPr>
            <w:t>一、</w:t>
          </w:r>
          <w:r>
            <w:rPr>
              <w:rFonts w:hint="eastAsia"/>
            </w:rPr>
            <w:t>企业质量理念</w:t>
          </w:r>
          <w:r>
            <w:tab/>
          </w:r>
          <w:r>
            <w:fldChar w:fldCharType="begin"/>
          </w:r>
          <w:r>
            <w:instrText xml:space="preserve"> PAGEREF _Toc6159 \h </w:instrText>
          </w:r>
          <w:r>
            <w:fldChar w:fldCharType="separate"/>
          </w:r>
          <w:r>
            <w:t>6</w:t>
          </w:r>
          <w:r>
            <w:fldChar w:fldCharType="end"/>
          </w:r>
          <w:r>
            <w:fldChar w:fldCharType="end"/>
          </w:r>
        </w:p>
        <w:p>
          <w:pPr>
            <w:pStyle w:val="12"/>
            <w:tabs>
              <w:tab w:val="right" w:leader="dot" w:pos="9214"/>
            </w:tabs>
          </w:pPr>
          <w:r>
            <w:rPr>
              <w:bCs/>
              <w:lang w:val="zh-CN"/>
            </w:rPr>
            <w:fldChar w:fldCharType="begin"/>
          </w:r>
          <w:r>
            <w:rPr>
              <w:bCs/>
              <w:lang w:val="zh-CN"/>
            </w:rPr>
            <w:instrText xml:space="preserve"> HYPERLINK \l _Toc9127 </w:instrText>
          </w:r>
          <w:r>
            <w:rPr>
              <w:bCs/>
              <w:lang w:val="zh-CN"/>
            </w:rPr>
            <w:fldChar w:fldCharType="separate"/>
          </w:r>
          <w:r>
            <w:rPr>
              <w:rFonts w:hint="eastAsia"/>
              <w:lang w:val="en-US" w:eastAsia="zh-CN"/>
            </w:rPr>
            <w:t>二、</w:t>
          </w:r>
          <w:r>
            <w:rPr>
              <w:rFonts w:hint="eastAsia"/>
            </w:rPr>
            <w:t>企业质量管理</w:t>
          </w:r>
          <w:r>
            <w:tab/>
          </w:r>
          <w:r>
            <w:fldChar w:fldCharType="begin"/>
          </w:r>
          <w:r>
            <w:instrText xml:space="preserve"> PAGEREF _Toc9127 \h </w:instrText>
          </w:r>
          <w:r>
            <w:fldChar w:fldCharType="separate"/>
          </w:r>
          <w:r>
            <w:t>6</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_Toc29128 </w:instrText>
          </w:r>
          <w:r>
            <w:rPr>
              <w:bCs/>
              <w:lang w:val="zh-CN"/>
            </w:rPr>
            <w:fldChar w:fldCharType="separate"/>
          </w:r>
          <w:r>
            <w:rPr>
              <w:rFonts w:hint="eastAsia"/>
            </w:rPr>
            <w:t>2.1质量管理机构</w:t>
          </w:r>
          <w:r>
            <w:tab/>
          </w:r>
          <w:r>
            <w:fldChar w:fldCharType="begin"/>
          </w:r>
          <w:r>
            <w:instrText xml:space="preserve"> PAGEREF _Toc29128 \h </w:instrText>
          </w:r>
          <w:r>
            <w:fldChar w:fldCharType="separate"/>
          </w:r>
          <w:r>
            <w:t>6</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_Toc23062 </w:instrText>
          </w:r>
          <w:r>
            <w:rPr>
              <w:bCs/>
              <w:lang w:val="zh-CN"/>
            </w:rPr>
            <w:fldChar w:fldCharType="separate"/>
          </w:r>
          <w:r>
            <w:rPr>
              <w:rFonts w:hint="eastAsia"/>
            </w:rPr>
            <w:t>2.2质量管理体系</w:t>
          </w:r>
          <w:r>
            <w:tab/>
          </w:r>
          <w:r>
            <w:fldChar w:fldCharType="begin"/>
          </w:r>
          <w:r>
            <w:instrText xml:space="preserve"> PAGEREF _Toc23062 \h </w:instrText>
          </w:r>
          <w:r>
            <w:fldChar w:fldCharType="separate"/>
          </w:r>
          <w:r>
            <w:t>7</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_Toc30923 </w:instrText>
          </w:r>
          <w:r>
            <w:rPr>
              <w:bCs/>
              <w:lang w:val="zh-CN"/>
            </w:rPr>
            <w:fldChar w:fldCharType="separate"/>
          </w:r>
          <w:r>
            <w:rPr>
              <w:rFonts w:hint="eastAsia"/>
            </w:rPr>
            <w:t>2.3质量安全风险管理</w:t>
          </w:r>
          <w:r>
            <w:tab/>
          </w:r>
          <w:r>
            <w:fldChar w:fldCharType="begin"/>
          </w:r>
          <w:r>
            <w:instrText xml:space="preserve"> PAGEREF _Toc30923 \h </w:instrText>
          </w:r>
          <w:r>
            <w:fldChar w:fldCharType="separate"/>
          </w:r>
          <w:r>
            <w:t>7</w:t>
          </w:r>
          <w:r>
            <w:fldChar w:fldCharType="end"/>
          </w:r>
          <w:r>
            <w:rPr>
              <w:bCs/>
              <w:lang w:val="zh-CN"/>
            </w:rPr>
            <w:fldChar w:fldCharType="end"/>
          </w:r>
        </w:p>
        <w:p>
          <w:pPr>
            <w:pStyle w:val="12"/>
            <w:tabs>
              <w:tab w:val="right" w:leader="dot" w:pos="9214"/>
            </w:tabs>
          </w:pPr>
          <w:r>
            <w:rPr>
              <w:bCs/>
              <w:lang w:val="zh-CN"/>
            </w:rPr>
            <w:fldChar w:fldCharType="begin"/>
          </w:r>
          <w:r>
            <w:rPr>
              <w:bCs/>
              <w:lang w:val="zh-CN"/>
            </w:rPr>
            <w:instrText xml:space="preserve"> HYPERLINK \l _Toc26301 </w:instrText>
          </w:r>
          <w:r>
            <w:rPr>
              <w:bCs/>
              <w:lang w:val="zh-CN"/>
            </w:rPr>
            <w:fldChar w:fldCharType="separate"/>
          </w:r>
          <w:r>
            <w:rPr>
              <w:rFonts w:hint="eastAsia"/>
              <w:lang w:val="en-US" w:eastAsia="zh-CN"/>
            </w:rPr>
            <w:t>三、</w:t>
          </w:r>
          <w:r>
            <w:rPr>
              <w:rFonts w:hint="eastAsia"/>
            </w:rPr>
            <w:t>企业诚信管理</w:t>
          </w:r>
          <w:r>
            <w:tab/>
          </w:r>
          <w:r>
            <w:fldChar w:fldCharType="begin"/>
          </w:r>
          <w:r>
            <w:instrText xml:space="preserve"> PAGEREF _Toc26301 \h </w:instrText>
          </w:r>
          <w:r>
            <w:fldChar w:fldCharType="separate"/>
          </w:r>
          <w:r>
            <w:t>9</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_Toc3044 </w:instrText>
          </w:r>
          <w:r>
            <w:rPr>
              <w:bCs/>
              <w:lang w:val="zh-CN"/>
            </w:rPr>
            <w:fldChar w:fldCharType="separate"/>
          </w:r>
          <w:r>
            <w:rPr>
              <w:rFonts w:hint="eastAsia"/>
            </w:rPr>
            <w:t>3.1质量承诺</w:t>
          </w:r>
          <w:r>
            <w:tab/>
          </w:r>
          <w:r>
            <w:fldChar w:fldCharType="begin"/>
          </w:r>
          <w:r>
            <w:instrText xml:space="preserve"> PAGEREF _Toc3044 \h </w:instrText>
          </w:r>
          <w:r>
            <w:fldChar w:fldCharType="separate"/>
          </w:r>
          <w:r>
            <w:t>9</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_Toc10221 </w:instrText>
          </w:r>
          <w:r>
            <w:rPr>
              <w:bCs/>
              <w:lang w:val="zh-CN"/>
            </w:rPr>
            <w:fldChar w:fldCharType="separate"/>
          </w:r>
          <w:r>
            <w:rPr>
              <w:rFonts w:hint="eastAsia"/>
            </w:rPr>
            <w:t>3.2运作管理</w:t>
          </w:r>
          <w:r>
            <w:tab/>
          </w:r>
          <w:r>
            <w:fldChar w:fldCharType="begin"/>
          </w:r>
          <w:r>
            <w:instrText xml:space="preserve"> PAGEREF _Toc10221 \h </w:instrText>
          </w:r>
          <w:r>
            <w:fldChar w:fldCharType="separate"/>
          </w:r>
          <w:r>
            <w:t>9</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_Toc26633 </w:instrText>
          </w:r>
          <w:r>
            <w:rPr>
              <w:bCs/>
              <w:lang w:val="zh-CN"/>
            </w:rPr>
            <w:fldChar w:fldCharType="separate"/>
          </w:r>
          <w:r>
            <w:rPr>
              <w:rFonts w:hint="eastAsia"/>
            </w:rPr>
            <w:t>3.3营销管理</w:t>
          </w:r>
          <w:r>
            <w:tab/>
          </w:r>
          <w:r>
            <w:fldChar w:fldCharType="begin"/>
          </w:r>
          <w:r>
            <w:instrText xml:space="preserve"> PAGEREF _Toc26633 \h </w:instrText>
          </w:r>
          <w:r>
            <w:fldChar w:fldCharType="separate"/>
          </w:r>
          <w:r>
            <w:t>9</w:t>
          </w:r>
          <w:r>
            <w:fldChar w:fldCharType="end"/>
          </w:r>
          <w:r>
            <w:rPr>
              <w:bCs/>
              <w:lang w:val="zh-CN"/>
            </w:rPr>
            <w:fldChar w:fldCharType="end"/>
          </w:r>
        </w:p>
        <w:p>
          <w:pPr>
            <w:pStyle w:val="12"/>
            <w:tabs>
              <w:tab w:val="right" w:leader="dot" w:pos="9214"/>
            </w:tabs>
          </w:pPr>
          <w:r>
            <w:rPr>
              <w:bCs/>
              <w:lang w:val="zh-CN"/>
            </w:rPr>
            <w:fldChar w:fldCharType="begin"/>
          </w:r>
          <w:r>
            <w:rPr>
              <w:bCs/>
              <w:lang w:val="zh-CN"/>
            </w:rPr>
            <w:instrText xml:space="preserve"> HYPERLINK \l _Toc1794 </w:instrText>
          </w:r>
          <w:r>
            <w:rPr>
              <w:bCs/>
              <w:lang w:val="zh-CN"/>
            </w:rPr>
            <w:fldChar w:fldCharType="separate"/>
          </w:r>
          <w:r>
            <w:rPr>
              <w:rFonts w:hint="eastAsia"/>
              <w:lang w:val="en-US" w:eastAsia="zh-CN"/>
            </w:rPr>
            <w:t>四、</w:t>
          </w:r>
          <w:r>
            <w:rPr>
              <w:rFonts w:hint="eastAsia"/>
            </w:rPr>
            <w:t>质量管理基础</w:t>
          </w:r>
          <w:r>
            <w:tab/>
          </w:r>
          <w:r>
            <w:fldChar w:fldCharType="begin"/>
          </w:r>
          <w:r>
            <w:instrText xml:space="preserve"> PAGEREF _Toc1794 \h </w:instrText>
          </w:r>
          <w:r>
            <w:fldChar w:fldCharType="separate"/>
          </w:r>
          <w:r>
            <w:t>10</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_Toc30814 </w:instrText>
          </w:r>
          <w:r>
            <w:rPr>
              <w:bCs/>
              <w:lang w:val="zh-CN"/>
            </w:rPr>
            <w:fldChar w:fldCharType="separate"/>
          </w:r>
          <w:r>
            <w:rPr>
              <w:rFonts w:hint="eastAsia"/>
            </w:rPr>
            <w:t>4.1标准管理</w:t>
          </w:r>
          <w:r>
            <w:tab/>
          </w:r>
          <w:r>
            <w:fldChar w:fldCharType="begin"/>
          </w:r>
          <w:r>
            <w:instrText xml:space="preserve"> PAGEREF _Toc30814 \h </w:instrText>
          </w:r>
          <w:r>
            <w:fldChar w:fldCharType="separate"/>
          </w:r>
          <w:r>
            <w:t>10</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_Toc13538 </w:instrText>
          </w:r>
          <w:r>
            <w:rPr>
              <w:bCs/>
              <w:lang w:val="zh-CN"/>
            </w:rPr>
            <w:fldChar w:fldCharType="separate"/>
          </w:r>
          <w:r>
            <w:rPr>
              <w:rFonts w:hint="eastAsia"/>
            </w:rPr>
            <w:t>4.2计量管理</w:t>
          </w:r>
          <w:r>
            <w:tab/>
          </w:r>
          <w:r>
            <w:fldChar w:fldCharType="begin"/>
          </w:r>
          <w:r>
            <w:instrText xml:space="preserve"> PAGEREF _Toc13538 \h </w:instrText>
          </w:r>
          <w:r>
            <w:fldChar w:fldCharType="separate"/>
          </w:r>
          <w:r>
            <w:t>10</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_Toc6976 </w:instrText>
          </w:r>
          <w:r>
            <w:rPr>
              <w:bCs/>
              <w:lang w:val="zh-CN"/>
            </w:rPr>
            <w:fldChar w:fldCharType="separate"/>
          </w:r>
          <w:r>
            <w:rPr>
              <w:rFonts w:hint="eastAsia"/>
            </w:rPr>
            <w:t>4.3认证管理</w:t>
          </w:r>
          <w:r>
            <w:tab/>
          </w:r>
          <w:r>
            <w:fldChar w:fldCharType="begin"/>
          </w:r>
          <w:r>
            <w:instrText xml:space="preserve"> PAGEREF _Toc6976 \h </w:instrText>
          </w:r>
          <w:r>
            <w:fldChar w:fldCharType="separate"/>
          </w:r>
          <w:r>
            <w:t>10</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_Toc27482 </w:instrText>
          </w:r>
          <w:r>
            <w:rPr>
              <w:bCs/>
              <w:lang w:val="zh-CN"/>
            </w:rPr>
            <w:fldChar w:fldCharType="separate"/>
          </w:r>
          <w:r>
            <w:rPr>
              <w:rFonts w:hint="eastAsia"/>
            </w:rPr>
            <w:t>4.4检验检测管理</w:t>
          </w:r>
          <w:r>
            <w:tab/>
          </w:r>
          <w:r>
            <w:fldChar w:fldCharType="begin"/>
          </w:r>
          <w:r>
            <w:instrText xml:space="preserve"> PAGEREF _Toc27482 \h </w:instrText>
          </w:r>
          <w:r>
            <w:fldChar w:fldCharType="separate"/>
          </w:r>
          <w:r>
            <w:t>10</w:t>
          </w:r>
          <w:r>
            <w:fldChar w:fldCharType="end"/>
          </w:r>
          <w:r>
            <w:rPr>
              <w:bCs/>
              <w:lang w:val="zh-CN"/>
            </w:rPr>
            <w:fldChar w:fldCharType="end"/>
          </w:r>
        </w:p>
        <w:p>
          <w:pPr>
            <w:pStyle w:val="12"/>
            <w:tabs>
              <w:tab w:val="right" w:leader="dot" w:pos="9214"/>
            </w:tabs>
          </w:pPr>
          <w:r>
            <w:rPr>
              <w:bCs/>
              <w:lang w:val="zh-CN"/>
            </w:rPr>
            <w:fldChar w:fldCharType="begin"/>
          </w:r>
          <w:r>
            <w:rPr>
              <w:bCs/>
              <w:lang w:val="zh-CN"/>
            </w:rPr>
            <w:instrText xml:space="preserve"> HYPERLINK \l _Toc11421 </w:instrText>
          </w:r>
          <w:r>
            <w:rPr>
              <w:bCs/>
              <w:lang w:val="zh-CN"/>
            </w:rPr>
            <w:fldChar w:fldCharType="separate"/>
          </w:r>
          <w:r>
            <w:rPr>
              <w:rFonts w:hint="eastAsia"/>
              <w:lang w:val="en-US" w:eastAsia="zh-CN"/>
            </w:rPr>
            <w:t>五、</w:t>
          </w:r>
          <w:r>
            <w:rPr>
              <w:rFonts w:hint="eastAsia"/>
            </w:rPr>
            <w:t>产品质量责任管理</w:t>
          </w:r>
          <w:r>
            <w:tab/>
          </w:r>
          <w:r>
            <w:fldChar w:fldCharType="begin"/>
          </w:r>
          <w:r>
            <w:instrText xml:space="preserve"> PAGEREF _Toc11421 \h </w:instrText>
          </w:r>
          <w:r>
            <w:fldChar w:fldCharType="separate"/>
          </w:r>
          <w:r>
            <w:t>11</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_Toc25234 </w:instrText>
          </w:r>
          <w:r>
            <w:rPr>
              <w:bCs/>
              <w:lang w:val="zh-CN"/>
            </w:rPr>
            <w:fldChar w:fldCharType="separate"/>
          </w:r>
          <w:r>
            <w:rPr>
              <w:rFonts w:hint="eastAsia"/>
            </w:rPr>
            <w:t>5.1 产品质量水平</w:t>
          </w:r>
          <w:r>
            <w:tab/>
          </w:r>
          <w:r>
            <w:fldChar w:fldCharType="begin"/>
          </w:r>
          <w:r>
            <w:instrText xml:space="preserve"> PAGEREF _Toc25234 \h </w:instrText>
          </w:r>
          <w:r>
            <w:fldChar w:fldCharType="separate"/>
          </w:r>
          <w:r>
            <w:t>11</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_Toc26665 </w:instrText>
          </w:r>
          <w:r>
            <w:rPr>
              <w:bCs/>
              <w:lang w:val="zh-CN"/>
            </w:rPr>
            <w:fldChar w:fldCharType="separate"/>
          </w:r>
          <w:r>
            <w:rPr>
              <w:rFonts w:hint="eastAsia"/>
            </w:rPr>
            <w:t>5.2 产品售后责任</w:t>
          </w:r>
          <w:r>
            <w:tab/>
          </w:r>
          <w:r>
            <w:fldChar w:fldCharType="begin"/>
          </w:r>
          <w:r>
            <w:instrText xml:space="preserve"> PAGEREF _Toc26665 \h </w:instrText>
          </w:r>
          <w:r>
            <w:fldChar w:fldCharType="separate"/>
          </w:r>
          <w:r>
            <w:t>11</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_Toc25325 </w:instrText>
          </w:r>
          <w:r>
            <w:rPr>
              <w:bCs/>
              <w:lang w:val="zh-CN"/>
            </w:rPr>
            <w:fldChar w:fldCharType="separate"/>
          </w:r>
          <w:r>
            <w:rPr>
              <w:rFonts w:hint="eastAsia"/>
            </w:rPr>
            <w:t>5.3 企业社会责任</w:t>
          </w:r>
          <w:r>
            <w:tab/>
          </w:r>
          <w:r>
            <w:fldChar w:fldCharType="begin"/>
          </w:r>
          <w:r>
            <w:instrText xml:space="preserve"> PAGEREF _Toc25325 \h </w:instrText>
          </w:r>
          <w:r>
            <w:fldChar w:fldCharType="separate"/>
          </w:r>
          <w:r>
            <w:t>11</w:t>
          </w:r>
          <w:r>
            <w:fldChar w:fldCharType="end"/>
          </w:r>
          <w:r>
            <w:rPr>
              <w:bCs/>
              <w:lang w:val="zh-CN"/>
            </w:rPr>
            <w:fldChar w:fldCharType="end"/>
          </w:r>
        </w:p>
        <w:p>
          <w:pPr>
            <w:pStyle w:val="6"/>
            <w:tabs>
              <w:tab w:val="right" w:leader="dot" w:pos="9214"/>
            </w:tabs>
          </w:pPr>
          <w:r>
            <w:rPr>
              <w:bCs/>
              <w:lang w:val="zh-CN"/>
            </w:rPr>
            <w:fldChar w:fldCharType="begin"/>
          </w:r>
          <w:r>
            <w:rPr>
              <w:bCs/>
              <w:lang w:val="zh-CN"/>
            </w:rPr>
            <w:instrText xml:space="preserve"> HYPERLINK \l _Toc2614 </w:instrText>
          </w:r>
          <w:r>
            <w:rPr>
              <w:bCs/>
              <w:lang w:val="zh-CN"/>
            </w:rPr>
            <w:fldChar w:fldCharType="separate"/>
          </w:r>
          <w:r>
            <w:rPr>
              <w:rFonts w:hint="eastAsia"/>
            </w:rPr>
            <w:t>5.4 质量信用记录</w:t>
          </w:r>
          <w:r>
            <w:tab/>
          </w:r>
          <w:r>
            <w:fldChar w:fldCharType="begin"/>
          </w:r>
          <w:r>
            <w:instrText xml:space="preserve"> PAGEREF _Toc2614 \h </w:instrText>
          </w:r>
          <w:r>
            <w:fldChar w:fldCharType="separate"/>
          </w:r>
          <w:r>
            <w:t>12</w:t>
          </w:r>
          <w:r>
            <w:fldChar w:fldCharType="end"/>
          </w:r>
          <w:r>
            <w:rPr>
              <w:bCs/>
              <w:lang w:val="zh-CN"/>
            </w:rPr>
            <w:fldChar w:fldCharType="end"/>
          </w:r>
        </w:p>
        <w:p>
          <w:pPr>
            <w:pStyle w:val="12"/>
            <w:tabs>
              <w:tab w:val="right" w:leader="dot" w:pos="9214"/>
            </w:tabs>
          </w:pPr>
          <w:r>
            <w:rPr>
              <w:bCs/>
              <w:lang w:val="zh-CN"/>
            </w:rPr>
            <w:fldChar w:fldCharType="begin"/>
          </w:r>
          <w:r>
            <w:rPr>
              <w:bCs/>
              <w:lang w:val="zh-CN"/>
            </w:rPr>
            <w:instrText xml:space="preserve"> HYPERLINK \l _Toc24331 </w:instrText>
          </w:r>
          <w:r>
            <w:rPr>
              <w:bCs/>
              <w:lang w:val="zh-CN"/>
            </w:rPr>
            <w:fldChar w:fldCharType="separate"/>
          </w:r>
          <w:r>
            <w:rPr>
              <w:rFonts w:hint="eastAsia"/>
              <w:lang w:val="en-US" w:eastAsia="zh-CN"/>
            </w:rPr>
            <w:t>六、</w:t>
          </w:r>
          <w:r>
            <w:rPr>
              <w:rFonts w:hint="eastAsia"/>
            </w:rPr>
            <w:t>报告结束语</w:t>
          </w:r>
          <w:r>
            <w:tab/>
          </w:r>
          <w:r>
            <w:fldChar w:fldCharType="begin"/>
          </w:r>
          <w:r>
            <w:instrText xml:space="preserve"> PAGEREF _Toc24331 \h </w:instrText>
          </w:r>
          <w:r>
            <w:fldChar w:fldCharType="separate"/>
          </w:r>
          <w:r>
            <w:t>12</w:t>
          </w:r>
          <w:r>
            <w:fldChar w:fldCharType="end"/>
          </w:r>
          <w:r>
            <w:rPr>
              <w:bCs/>
              <w:lang w:val="zh-CN"/>
            </w:rPr>
            <w:fldChar w:fldCharType="end"/>
          </w:r>
        </w:p>
        <w:p>
          <w:r>
            <w:rPr>
              <w:bCs/>
              <w:lang w:val="zh-CN"/>
            </w:rPr>
            <w:fldChar w:fldCharType="end"/>
          </w:r>
        </w:p>
      </w:sdtContent>
    </w:sdt>
    <w:p>
      <w:pPr>
        <w:jc w:val="left"/>
        <w:rPr>
          <w:rFonts w:ascii="微软雅黑" w:hAnsi="微软雅黑" w:eastAsia="微软雅黑"/>
          <w:b/>
          <w:sz w:val="24"/>
        </w:rPr>
      </w:pPr>
    </w:p>
    <w:p>
      <w:pPr>
        <w:widowControl/>
        <w:jc w:val="left"/>
        <w:rPr>
          <w:rFonts w:ascii="微软雅黑" w:hAnsi="微软雅黑" w:eastAsia="微软雅黑"/>
          <w:b/>
          <w:sz w:val="24"/>
        </w:rPr>
      </w:pPr>
      <w:r>
        <w:rPr>
          <w:rFonts w:ascii="微软雅黑" w:hAnsi="微软雅黑" w:eastAsia="微软雅黑"/>
          <w:b/>
          <w:sz w:val="24"/>
        </w:rPr>
        <w:br w:type="page"/>
      </w:r>
    </w:p>
    <w:p>
      <w:pPr>
        <w:pStyle w:val="3"/>
        <w:bidi w:val="0"/>
      </w:pPr>
      <w:bookmarkStart w:id="1" w:name="_Toc6159"/>
      <w:r>
        <w:rPr>
          <w:rFonts w:hint="eastAsia"/>
          <w:lang w:val="en-US" w:eastAsia="zh-CN"/>
        </w:rPr>
        <w:t>一、</w:t>
      </w:r>
      <w:r>
        <w:rPr>
          <w:rFonts w:hint="eastAsia"/>
        </w:rPr>
        <w:t>企业质量理念</w:t>
      </w:r>
      <w:bookmarkEnd w:id="1"/>
    </w:p>
    <w:p>
      <w:pPr>
        <w:ind w:firstLine="480" w:firstLineChars="200"/>
        <w:rPr>
          <w:rFonts w:hint="eastAsia" w:ascii="微软雅黑" w:hAnsi="微软雅黑" w:eastAsia="微软雅黑"/>
          <w:sz w:val="24"/>
        </w:rPr>
      </w:pPr>
      <w:r>
        <w:rPr>
          <w:rFonts w:hint="eastAsia" w:ascii="微软雅黑" w:hAnsi="微软雅黑" w:eastAsia="微软雅黑"/>
          <w:sz w:val="24"/>
          <w:lang w:val="en-US" w:eastAsia="zh-CN"/>
        </w:rPr>
        <w:t>寰宇东方国际集装箱（启东）有限公司</w:t>
      </w:r>
      <w:r>
        <w:rPr>
          <w:rFonts w:hint="eastAsia" w:ascii="微软雅黑" w:hAnsi="微软雅黑" w:eastAsia="微软雅黑"/>
          <w:sz w:val="24"/>
        </w:rPr>
        <w:t>企业质量价值观：</w:t>
      </w:r>
      <w:r>
        <w:rPr>
          <w:rFonts w:hint="eastAsia" w:ascii="微软雅黑" w:hAnsi="微软雅黑" w:eastAsia="微软雅黑"/>
          <w:sz w:val="24"/>
          <w:lang w:eastAsia="zh-CN"/>
        </w:rPr>
        <w:t>“</w:t>
      </w:r>
      <w:r>
        <w:rPr>
          <w:rFonts w:hint="eastAsia" w:ascii="微软雅黑" w:hAnsi="微软雅黑" w:eastAsia="微软雅黑"/>
          <w:sz w:val="24"/>
        </w:rPr>
        <w:t>向客户承诺的是诚信</w:t>
      </w:r>
      <w:r>
        <w:rPr>
          <w:rFonts w:hint="eastAsia" w:ascii="微软雅黑" w:hAnsi="微软雅黑" w:eastAsia="微软雅黑"/>
          <w:sz w:val="24"/>
          <w:lang w:eastAsia="zh-CN"/>
        </w:rPr>
        <w:t>，</w:t>
      </w:r>
      <w:r>
        <w:rPr>
          <w:rFonts w:hint="eastAsia" w:ascii="微软雅黑" w:hAnsi="微软雅黑" w:eastAsia="微软雅黑"/>
          <w:sz w:val="24"/>
        </w:rPr>
        <w:t>让客户体验的是满意</w:t>
      </w:r>
      <w:r>
        <w:rPr>
          <w:rFonts w:hint="eastAsia" w:ascii="微软雅黑" w:hAnsi="微软雅黑" w:eastAsia="微软雅黑"/>
          <w:sz w:val="24"/>
          <w:lang w:eastAsia="zh-CN"/>
        </w:rPr>
        <w:t>”。</w:t>
      </w:r>
      <w:r>
        <w:rPr>
          <w:rFonts w:hint="eastAsia" w:ascii="微软雅黑" w:hAnsi="微软雅黑" w:eastAsia="微软雅黑"/>
          <w:sz w:val="24"/>
          <w:lang w:val="en-US" w:eastAsia="zh-CN"/>
        </w:rPr>
        <w:t>公司秉承“健康幸福、卓越寰宇、激情欢乐、魅力东方”的企业愿景和“开明睿智、诚信博爱、开放包容、卓越共享”的企业核心价值观，不断履行“客户认同、员工自豪、回报股东、尽责社会”的企业使命，</w:t>
      </w:r>
      <w:r>
        <w:rPr>
          <w:rFonts w:hint="eastAsia" w:ascii="微软雅黑" w:hAnsi="微软雅黑" w:eastAsia="微软雅黑"/>
          <w:sz w:val="24"/>
        </w:rPr>
        <w:t>倡导满足客户的需求就是企业的追求。通过实现产品功能、质量、提供服务的完美统一，打造高品质产品和服务；将对客户承诺的诚信，通过客户的满意而体现，为客户创造价值，从而得到客户认同。公司</w:t>
      </w:r>
      <w:r>
        <w:rPr>
          <w:rFonts w:hint="eastAsia" w:ascii="微软雅黑" w:hAnsi="微软雅黑" w:eastAsia="微软雅黑"/>
          <w:sz w:val="24"/>
          <w:lang w:val="en-US" w:eastAsia="zh-CN"/>
        </w:rPr>
        <w:t>坚持提质增效、装备升级</w:t>
      </w:r>
      <w:r>
        <w:rPr>
          <w:rFonts w:hint="eastAsia" w:ascii="微软雅黑" w:hAnsi="微软雅黑" w:eastAsia="微软雅黑"/>
          <w:sz w:val="24"/>
        </w:rPr>
        <w:t>，不断完善质量管理体系，让</w:t>
      </w:r>
      <w:r>
        <w:rPr>
          <w:rFonts w:hint="eastAsia" w:ascii="微软雅黑" w:hAnsi="微软雅黑" w:eastAsia="微软雅黑"/>
          <w:sz w:val="24"/>
          <w:lang w:eastAsia="zh-CN"/>
        </w:rPr>
        <w:t>“</w:t>
      </w:r>
      <w:r>
        <w:rPr>
          <w:rFonts w:hint="eastAsia" w:ascii="微软雅黑" w:hAnsi="微软雅黑" w:eastAsia="微软雅黑"/>
          <w:sz w:val="24"/>
          <w:lang w:val="en-US" w:eastAsia="zh-CN"/>
        </w:rPr>
        <w:t>寰宇东方”</w:t>
      </w:r>
      <w:r>
        <w:rPr>
          <w:rFonts w:hint="eastAsia" w:ascii="微软雅黑" w:hAnsi="微软雅黑" w:eastAsia="微软雅黑"/>
          <w:sz w:val="24"/>
        </w:rPr>
        <w:t>成为</w:t>
      </w:r>
      <w:r>
        <w:rPr>
          <w:rFonts w:hint="eastAsia" w:ascii="微软雅黑" w:hAnsi="微软雅黑" w:eastAsia="微软雅黑"/>
          <w:sz w:val="24"/>
          <w:lang w:val="en-US" w:eastAsia="zh-CN"/>
        </w:rPr>
        <w:t>集装箱产业</w:t>
      </w:r>
      <w:r>
        <w:rPr>
          <w:rFonts w:hint="eastAsia" w:ascii="微软雅黑" w:hAnsi="微软雅黑" w:eastAsia="微软雅黑"/>
          <w:sz w:val="24"/>
        </w:rPr>
        <w:t>最受欢迎的品牌之一。</w:t>
      </w:r>
    </w:p>
    <w:p>
      <w:pPr>
        <w:pStyle w:val="3"/>
        <w:bidi w:val="0"/>
      </w:pPr>
      <w:bookmarkStart w:id="2" w:name="_Toc9127"/>
      <w:r>
        <w:rPr>
          <w:rFonts w:hint="eastAsia"/>
          <w:lang w:val="en-US" w:eastAsia="zh-CN"/>
        </w:rPr>
        <w:t>二、</w:t>
      </w:r>
      <w:r>
        <w:rPr>
          <w:rFonts w:hint="eastAsia"/>
        </w:rPr>
        <w:t>企业质量管理</w:t>
      </w:r>
      <w:bookmarkEnd w:id="2"/>
    </w:p>
    <w:p>
      <w:pPr>
        <w:pStyle w:val="4"/>
        <w:bidi w:val="0"/>
        <w:rPr>
          <w:rFonts w:hint="eastAsia"/>
        </w:rPr>
      </w:pPr>
      <w:bookmarkStart w:id="3" w:name="_Toc29128"/>
      <w:r>
        <w:rPr>
          <w:rFonts w:hint="eastAsia"/>
        </w:rPr>
        <w:t>2.1质量管理机构</w:t>
      </w:r>
      <w:bookmarkEnd w:id="3"/>
    </w:p>
    <w:p>
      <w:pPr>
        <w:bidi w:val="0"/>
        <w:ind w:firstLine="480" w:firstLineChars="200"/>
        <w:rPr>
          <w:rFonts w:hint="eastAsia" w:ascii="微软雅黑" w:hAnsi="微软雅黑" w:eastAsia="微软雅黑" w:cstheme="minorBidi"/>
          <w:b w:val="0"/>
          <w:kern w:val="2"/>
          <w:sz w:val="24"/>
          <w:szCs w:val="22"/>
          <w:lang w:val="en-US" w:eastAsia="zh-CN" w:bidi="ar-SA"/>
        </w:rPr>
      </w:pPr>
      <w:r>
        <w:rPr>
          <w:rFonts w:hint="eastAsia" w:ascii="微软雅黑" w:hAnsi="微软雅黑" w:eastAsia="微软雅黑" w:cstheme="minorBidi"/>
          <w:b w:val="0"/>
          <w:kern w:val="2"/>
          <w:sz w:val="24"/>
          <w:szCs w:val="22"/>
          <w:lang w:val="en-US" w:eastAsia="zh-CN" w:bidi="ar-SA"/>
        </w:rPr>
        <w:t xml:space="preserve">公司设立独立的品质管理部，工作职责覆盖：质量体系管理、质量工程、供应商质量管理与来料检验、线上检验、外场终检、试验房检验与计量管理等。   </w:t>
      </w:r>
    </w:p>
    <w:p>
      <w:pPr>
        <w:bidi w:val="0"/>
        <w:rPr>
          <w:rFonts w:hint="eastAsia" w:ascii="微软雅黑" w:hAnsi="微软雅黑" w:eastAsia="微软雅黑" w:cstheme="minorBidi"/>
          <w:b w:val="0"/>
          <w:kern w:val="2"/>
          <w:sz w:val="24"/>
          <w:szCs w:val="22"/>
          <w:lang w:val="en-US" w:eastAsia="zh-CN" w:bidi="ar-SA"/>
        </w:rPr>
      </w:pPr>
      <w:r>
        <w:drawing>
          <wp:inline distT="0" distB="0" distL="114300" distR="114300">
            <wp:extent cx="5193665" cy="2701290"/>
            <wp:effectExtent l="0" t="0" r="317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193665" cy="2701290"/>
                    </a:xfrm>
                    <a:prstGeom prst="rect">
                      <a:avLst/>
                    </a:prstGeom>
                    <a:noFill/>
                    <a:ln>
                      <a:noFill/>
                    </a:ln>
                  </pic:spPr>
                </pic:pic>
              </a:graphicData>
            </a:graphic>
          </wp:inline>
        </w:drawing>
      </w:r>
    </w:p>
    <w:p>
      <w:pPr>
        <w:pStyle w:val="4"/>
        <w:bidi w:val="0"/>
        <w:rPr>
          <w:rFonts w:hint="eastAsia"/>
        </w:rPr>
      </w:pPr>
      <w:bookmarkStart w:id="4" w:name="_Toc23062"/>
      <w:r>
        <w:rPr>
          <w:rFonts w:hint="eastAsia"/>
        </w:rPr>
        <w:t>2.2质量管理体系</w:t>
      </w:r>
      <w:bookmarkEnd w:id="4"/>
    </w:p>
    <w:p>
      <w:pPr>
        <w:ind w:firstLine="480" w:firstLineChars="200"/>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我公司的质量管理体系按照ISO9001：2015运行，证书号：00523Q3033R3L，证有效期至2026年9月21日。公司按照标准和体系文件要求每年组织内部审核，保障体系有效运行，建立了比较完整齐全的记录。</w:t>
      </w:r>
    </w:p>
    <w:p>
      <w:pPr>
        <w:ind w:firstLine="480" w:firstLineChars="200"/>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 xml:space="preserve">按照标准要求，每年由中国船级社质量认证有限公司进行审核，最近一次审核通过的时间是2023年7月15日，证实体系有效运行，记录比较完整、齐全。       </w:t>
      </w:r>
    </w:p>
    <w:p>
      <w:pPr>
        <w:ind w:firstLine="480" w:firstLineChars="200"/>
        <w:rPr>
          <w:rFonts w:hint="eastAsia" w:ascii="微软雅黑" w:hAnsi="微软雅黑" w:eastAsia="微软雅黑"/>
          <w:color w:val="auto"/>
          <w:sz w:val="24"/>
          <w:lang w:val="en-US" w:eastAsia="zh-CN"/>
        </w:rPr>
      </w:pPr>
      <w:r>
        <w:rPr>
          <w:rFonts w:hint="eastAsia" w:ascii="微软雅黑" w:hAnsi="微软雅黑" w:eastAsia="微软雅黑"/>
          <w:color w:val="auto"/>
          <w:sz w:val="24"/>
          <w:lang w:val="en-US" w:eastAsia="zh-CN"/>
        </w:rPr>
        <w:t xml:space="preserve">公司建立质量教育管理制度，有进行相关质量教育培训记录。    </w:t>
      </w:r>
    </w:p>
    <w:p>
      <w:pPr>
        <w:ind w:firstLine="480" w:firstLineChars="200"/>
        <w:rPr>
          <w:rFonts w:hint="eastAsia"/>
          <w:lang w:val="en-US" w:eastAsia="zh-CN"/>
        </w:rPr>
      </w:pPr>
      <w:r>
        <w:rPr>
          <w:rFonts w:hint="eastAsia" w:ascii="微软雅黑" w:hAnsi="微软雅黑" w:eastAsia="微软雅黑"/>
          <w:color w:val="auto"/>
          <w:sz w:val="24"/>
          <w:lang w:val="en-US" w:eastAsia="zh-CN"/>
        </w:rPr>
        <w:t>公司较好地执行了质量法律法规，建立有质量法律法规执行情况记录制度，目前尚无违法违规记载。</w:t>
      </w:r>
    </w:p>
    <w:p>
      <w:pPr>
        <w:pStyle w:val="4"/>
        <w:bidi w:val="0"/>
        <w:rPr>
          <w:rFonts w:hint="eastAsia"/>
          <w:b/>
        </w:rPr>
      </w:pPr>
      <w:bookmarkStart w:id="5" w:name="_Toc30923"/>
      <w:r>
        <w:rPr>
          <w:rFonts w:hint="eastAsia"/>
          <w:b/>
        </w:rPr>
        <w:t>2.3质量安全风险管理</w:t>
      </w:r>
      <w:bookmarkEnd w:id="5"/>
    </w:p>
    <w:p>
      <w:pPr>
        <w:ind w:firstLine="480" w:firstLineChars="200"/>
        <w:rPr>
          <w:rFonts w:hint="eastAsia" w:ascii="微软雅黑" w:hAnsi="微软雅黑" w:eastAsia="微软雅黑"/>
          <w:color w:val="auto"/>
          <w:sz w:val="24"/>
        </w:rPr>
      </w:pPr>
      <w:r>
        <w:rPr>
          <w:rFonts w:hint="eastAsia" w:ascii="微软雅黑" w:hAnsi="微软雅黑" w:eastAsia="微软雅黑"/>
          <w:color w:val="auto"/>
          <w:sz w:val="24"/>
        </w:rPr>
        <w:t>2023年，启东箱厂按照上级公司《安全管理强化年行动实施方案措施》工作指引，围绕启东箱厂年初制定《2023年安全生产与环保工作方案》实施落实。深刻吸取有关安全生产事故教训，从完善安全基础、提高现场设施设备本质安全度、消灭安全隐患和降低安全风险、控制不安全的作业行为、组织开展全员参与等方面，启东箱厂二级、港务一级安全标准化定级建设工作，坚持基础安全工作稳步推进落实；维护企业安全稳定，保护员工和员工家庭健康。</w:t>
      </w:r>
    </w:p>
    <w:p>
      <w:pPr>
        <w:ind w:firstLine="480" w:firstLineChars="200"/>
        <w:rPr>
          <w:rFonts w:hint="eastAsia" w:ascii="微软雅黑" w:hAnsi="微软雅黑" w:eastAsia="微软雅黑"/>
          <w:color w:val="auto"/>
          <w:sz w:val="24"/>
        </w:rPr>
      </w:pPr>
      <w:r>
        <w:rPr>
          <w:rFonts w:hint="eastAsia" w:ascii="微软雅黑" w:hAnsi="微软雅黑" w:eastAsia="微软雅黑"/>
          <w:color w:val="auto"/>
          <w:sz w:val="24"/>
        </w:rPr>
        <w:t>在主要领导安全履职情况方面，公司组织全员签订责任书，明确各级责任、工作指标。全年围绕落实安全生产“第一责任人”这个方向，提高各部门、工段、班组、岗位员工，牢记我是安全生产第一责任人的安全观，开展各项安全措施，依法组织员工参加培训合格证。 学习贯彻习近平总书记关于安全生产的重要论述和重要指示批示精神，以及安全生产方针政策和法律法规和事故案例学习。组织召开安委会全体（扩大）会议4次，召开冬春消防安全专项整治、安全管理强化年行动部署会、宁夏燃气爆炸部署会、防台防汛工作措施落实宣贯布置会、重大事故隐患专项排查整治、安全隐患大排查大整治、阶段性重点工作讨论会等各类专题会议11次。及时研究分析安全生产及生态环保形势，并围绕年度计划及时部署下阶段重要安全生产及生态环保工作。</w:t>
      </w:r>
    </w:p>
    <w:p>
      <w:pPr>
        <w:ind w:firstLine="480" w:firstLineChars="200"/>
        <w:rPr>
          <w:rFonts w:hint="eastAsia" w:ascii="微软雅黑" w:hAnsi="微软雅黑" w:eastAsia="微软雅黑"/>
          <w:color w:val="auto"/>
          <w:sz w:val="24"/>
        </w:rPr>
      </w:pPr>
      <w:r>
        <w:rPr>
          <w:rFonts w:hint="eastAsia" w:ascii="微软雅黑" w:hAnsi="微软雅黑" w:eastAsia="微软雅黑"/>
          <w:color w:val="auto"/>
          <w:sz w:val="24"/>
        </w:rPr>
        <w:t xml:space="preserve">在体系及标准化建设方面，公司结合体系标准化建设要求，全面对安全环保、职业健康类制度进行修订56个、新增11个，同时结合公司新增加岗位、设备对安全操作规程进行完善，目前启东箱厂安全操作规程443个。公司每年6、7月份由中国船级社认证公司开展体系外审，取得了质量管理体系、环境管理体系、职业健康管理管理体系和能源管理体系认证证书。同时，公司制定安全生产二级标准化总体方案，对启东箱厂安全生产标准化工作推进、考核等内容进行明确要求。针对二级标准化，能源、特箱、二期，一并纳入评审范围，进行整改：清单模板统一→指定整改责任人、作业人→对照问题清单普查→每周有整改任务→每周监督检查周任务完成情况，并总结反馈，目前启东箱厂已经通过二级标准化现场评审工作。  </w:t>
      </w:r>
    </w:p>
    <w:p>
      <w:pPr>
        <w:ind w:firstLine="480" w:firstLineChars="200"/>
        <w:rPr>
          <w:rFonts w:hint="eastAsia" w:ascii="微软雅黑" w:hAnsi="微软雅黑" w:eastAsia="微软雅黑"/>
          <w:color w:val="auto"/>
          <w:sz w:val="24"/>
        </w:rPr>
      </w:pPr>
      <w:r>
        <w:rPr>
          <w:rFonts w:hint="eastAsia" w:ascii="微软雅黑" w:hAnsi="微软雅黑" w:eastAsia="微软雅黑"/>
          <w:color w:val="auto"/>
          <w:sz w:val="24"/>
        </w:rPr>
        <w:t>在学习宣贯，提升安全认识方面，开展学习教育，提升安全认识。组织全员学习新安法，学习贯彻习近平总书记关于安全生产重要论述。积极开展全方位安全教育培训，依法组织员工参加培训，取得相关上岗资格证，确保特种作业人员100%持证上岗。截止目前，已开展指名作业、复工复产、安全操作规程再培训、安全事故回头看、风险分级管控、四新等安全教育344次，培训20161人次。通过集中培训、专家讲座、典型案例培训等形式，将安全生产法、刑法修正案及司法解释、有关国家标准和行业标准等安全生产法律法规标准，提高员工的安全意识和应急能力。</w:t>
      </w:r>
    </w:p>
    <w:p>
      <w:pPr>
        <w:ind w:firstLine="480" w:firstLineChars="200"/>
        <w:rPr>
          <w:rFonts w:hint="eastAsia" w:ascii="微软雅黑" w:hAnsi="微软雅黑" w:eastAsia="微软雅黑"/>
          <w:color w:val="auto"/>
          <w:sz w:val="24"/>
        </w:rPr>
      </w:pPr>
      <w:r>
        <w:rPr>
          <w:rFonts w:hint="eastAsia" w:ascii="微软雅黑" w:hAnsi="微软雅黑" w:eastAsia="微软雅黑"/>
          <w:color w:val="auto"/>
          <w:sz w:val="24"/>
        </w:rPr>
        <w:t>同时，公司通过科技兴安等手段，提高员工自我安全防范意识，达到降低事故率的目的，实现爱心安全目标。</w:t>
      </w:r>
    </w:p>
    <w:p>
      <w:pPr>
        <w:pStyle w:val="3"/>
        <w:bidi w:val="0"/>
      </w:pPr>
      <w:bookmarkStart w:id="6" w:name="_Toc26301"/>
      <w:r>
        <w:rPr>
          <w:rFonts w:hint="eastAsia"/>
          <w:lang w:val="en-US" w:eastAsia="zh-CN"/>
        </w:rPr>
        <w:t>三、</w:t>
      </w:r>
      <w:r>
        <w:rPr>
          <w:rFonts w:hint="eastAsia"/>
        </w:rPr>
        <w:t>企业诚信管理</w:t>
      </w:r>
      <w:bookmarkEnd w:id="6"/>
    </w:p>
    <w:p>
      <w:pPr>
        <w:pStyle w:val="4"/>
        <w:bidi w:val="0"/>
      </w:pPr>
      <w:bookmarkStart w:id="7" w:name="_Toc3044"/>
      <w:r>
        <w:rPr>
          <w:rFonts w:hint="eastAsia"/>
        </w:rPr>
        <w:t>3.1质量承诺</w:t>
      </w:r>
      <w:bookmarkEnd w:id="7"/>
    </w:p>
    <w:p>
      <w:pPr>
        <w:ind w:firstLine="480" w:firstLineChars="200"/>
        <w:rPr>
          <w:rFonts w:hint="eastAsia" w:ascii="微软雅黑" w:hAnsi="微软雅黑" w:eastAsia="微软雅黑"/>
          <w:sz w:val="24"/>
          <w:lang w:eastAsia="zh-CN"/>
        </w:rPr>
      </w:pPr>
      <w:r>
        <w:rPr>
          <w:rFonts w:hint="eastAsia" w:ascii="微软雅黑" w:hAnsi="微软雅黑" w:eastAsia="微软雅黑"/>
          <w:sz w:val="24"/>
        </w:rPr>
        <w:t>我公司经严格的工序和成品检验程序生产的</w:t>
      </w:r>
      <w:r>
        <w:rPr>
          <w:rFonts w:hint="eastAsia" w:ascii="微软雅黑" w:hAnsi="微软雅黑" w:eastAsia="微软雅黑"/>
          <w:sz w:val="24"/>
          <w:lang w:val="en-US" w:eastAsia="zh-CN"/>
        </w:rPr>
        <w:t>干货集装箱、冷藏集装箱、特种箱、储能箱</w:t>
      </w:r>
      <w:r>
        <w:rPr>
          <w:rFonts w:hint="eastAsia" w:ascii="微软雅黑" w:hAnsi="微软雅黑" w:eastAsia="微软雅黑"/>
          <w:sz w:val="24"/>
        </w:rPr>
        <w:t>具有</w:t>
      </w:r>
      <w:r>
        <w:rPr>
          <w:rFonts w:hint="eastAsia" w:ascii="微软雅黑" w:hAnsi="微软雅黑" w:eastAsia="微软雅黑"/>
          <w:sz w:val="24"/>
          <w:lang w:val="en-US" w:eastAsia="zh-CN"/>
        </w:rPr>
        <w:t>船级社认证</w:t>
      </w:r>
      <w:r>
        <w:rPr>
          <w:rFonts w:hint="eastAsia" w:ascii="微软雅黑" w:hAnsi="微软雅黑" w:eastAsia="微软雅黑"/>
          <w:sz w:val="24"/>
        </w:rPr>
        <w:t>，</w:t>
      </w:r>
      <w:r>
        <w:rPr>
          <w:rFonts w:hint="eastAsia" w:ascii="微软雅黑" w:hAnsi="微软雅黑" w:eastAsia="微软雅黑"/>
          <w:sz w:val="24"/>
          <w:lang w:val="en-US" w:eastAsia="zh-CN"/>
        </w:rPr>
        <w:t>生产过程</w:t>
      </w:r>
      <w:r>
        <w:rPr>
          <w:rFonts w:hint="eastAsia" w:ascii="微软雅黑" w:hAnsi="微软雅黑" w:eastAsia="微软雅黑"/>
          <w:sz w:val="24"/>
        </w:rPr>
        <w:t>执行国家、行业的相关标准</w:t>
      </w:r>
      <w:r>
        <w:rPr>
          <w:rFonts w:hint="eastAsia" w:ascii="微软雅黑" w:hAnsi="微软雅黑" w:eastAsia="微软雅黑"/>
          <w:sz w:val="24"/>
          <w:lang w:eastAsia="zh-CN"/>
        </w:rPr>
        <w:t>；</w:t>
      </w:r>
      <w:r>
        <w:rPr>
          <w:rFonts w:hint="eastAsia" w:ascii="微软雅黑" w:hAnsi="微软雅黑" w:eastAsia="微软雅黑"/>
          <w:sz w:val="24"/>
          <w:lang w:val="en-US" w:eastAsia="zh-CN"/>
        </w:rPr>
        <w:t>我公司</w:t>
      </w:r>
      <w:r>
        <w:rPr>
          <w:rFonts w:hint="eastAsia" w:ascii="微软雅黑" w:hAnsi="微软雅黑" w:eastAsia="微软雅黑"/>
          <w:sz w:val="24"/>
        </w:rPr>
        <w:t>对出厂交付的产品质量承担保证责任，承担由此造成的所有经济损失。在产品服务过程中我们严格按照有关规定及合同认真履行我们的责任和义务，所提供的产品保证符合合同规定的数量、质量、规格和性能要求</w:t>
      </w:r>
      <w:r>
        <w:rPr>
          <w:rFonts w:hint="eastAsia" w:ascii="微软雅黑" w:hAnsi="微软雅黑" w:eastAsia="微软雅黑"/>
          <w:sz w:val="24"/>
          <w:lang w:eastAsia="zh-CN"/>
        </w:rPr>
        <w:t>。</w:t>
      </w:r>
    </w:p>
    <w:p>
      <w:pPr>
        <w:pStyle w:val="4"/>
        <w:bidi w:val="0"/>
      </w:pPr>
      <w:bookmarkStart w:id="8" w:name="_Toc10221"/>
      <w:r>
        <w:rPr>
          <w:rFonts w:hint="eastAsia"/>
        </w:rPr>
        <w:t>3.2运作管理</w:t>
      </w:r>
      <w:bookmarkEnd w:id="8"/>
    </w:p>
    <w:p>
      <w:pPr>
        <w:ind w:firstLine="480" w:firstLineChars="200"/>
        <w:rPr>
          <w:rFonts w:ascii="微软雅黑" w:hAnsi="微软雅黑" w:eastAsia="微软雅黑"/>
          <w:sz w:val="24"/>
        </w:rPr>
      </w:pPr>
      <w:r>
        <w:rPr>
          <w:rFonts w:hint="eastAsia" w:ascii="微软雅黑" w:hAnsi="微软雅黑" w:eastAsia="微软雅黑"/>
          <w:sz w:val="24"/>
        </w:rPr>
        <w:t>公司管理工作的内容基本上分为：经营管理和生产管理两大部分</w:t>
      </w:r>
      <w:r>
        <w:rPr>
          <w:rFonts w:hint="eastAsia" w:ascii="微软雅黑" w:hAnsi="微软雅黑" w:eastAsia="微软雅黑"/>
          <w:sz w:val="24"/>
          <w:lang w:eastAsia="zh-CN"/>
        </w:rPr>
        <w:t>。</w:t>
      </w:r>
      <w:r>
        <w:rPr>
          <w:rFonts w:hint="eastAsia" w:ascii="微软雅黑" w:hAnsi="微软雅黑" w:eastAsia="微软雅黑"/>
          <w:sz w:val="24"/>
        </w:rPr>
        <w:t>经营管理是对企业经营活动的管理，主要解决企业的生产、技术、经济活动问题，使企业同外部环境包括渠道开发、产品销售、售后服务、上级监管部门督查取得动态平衡</w:t>
      </w:r>
      <w:r>
        <w:rPr>
          <w:rFonts w:hint="eastAsia" w:ascii="微软雅黑" w:hAnsi="微软雅黑" w:eastAsia="微软雅黑"/>
          <w:sz w:val="24"/>
          <w:lang w:eastAsia="zh-CN"/>
        </w:rPr>
        <w:t>。</w:t>
      </w:r>
      <w:r>
        <w:rPr>
          <w:rFonts w:hint="eastAsia" w:ascii="微软雅黑" w:hAnsi="微软雅黑" w:eastAsia="微软雅黑"/>
          <w:sz w:val="24"/>
        </w:rPr>
        <w:t>生产管理是对企业生产系统的管理，主要解决企业内部人、财、物等各种资源的最优组合问题，实现良好效益。</w:t>
      </w:r>
    </w:p>
    <w:p>
      <w:pPr>
        <w:pStyle w:val="4"/>
        <w:bidi w:val="0"/>
      </w:pPr>
      <w:bookmarkStart w:id="9" w:name="_Toc26633"/>
      <w:r>
        <w:rPr>
          <w:rFonts w:hint="eastAsia"/>
        </w:rPr>
        <w:t>3.3营销管理</w:t>
      </w:r>
      <w:bookmarkEnd w:id="9"/>
    </w:p>
    <w:p>
      <w:pPr>
        <w:ind w:firstLine="480" w:firstLineChars="200"/>
        <w:rPr>
          <w:rFonts w:ascii="微软雅黑" w:hAnsi="微软雅黑" w:eastAsia="微软雅黑"/>
          <w:sz w:val="24"/>
        </w:rPr>
      </w:pPr>
      <w:r>
        <w:rPr>
          <w:rFonts w:hint="eastAsia" w:ascii="微软雅黑" w:hAnsi="微软雅黑" w:eastAsia="微软雅黑"/>
          <w:sz w:val="24"/>
        </w:rPr>
        <w:t>营销管理的实质是满足客户需求管理，即对客户需求的水平、时机和性质进行有效的调节</w:t>
      </w:r>
      <w:r>
        <w:rPr>
          <w:rFonts w:hint="eastAsia" w:ascii="微软雅黑" w:hAnsi="微软雅黑" w:eastAsia="微软雅黑"/>
          <w:sz w:val="24"/>
          <w:lang w:eastAsia="zh-CN"/>
        </w:rPr>
        <w:t>。</w:t>
      </w:r>
      <w:r>
        <w:rPr>
          <w:rFonts w:hint="eastAsia" w:ascii="微软雅黑" w:hAnsi="微软雅黑" w:eastAsia="微软雅黑"/>
          <w:sz w:val="24"/>
        </w:rPr>
        <w:t>为保证不断提高产品质量和服务水平，公司设定了热线电话、顾客投诉、定期的顾客满意度问卷调查等方式收集信息，</w:t>
      </w:r>
      <w:r>
        <w:rPr>
          <w:rFonts w:hint="eastAsia" w:ascii="微软雅黑" w:hAnsi="微软雅黑" w:eastAsia="微软雅黑"/>
          <w:sz w:val="24"/>
          <w:lang w:val="en-US" w:eastAsia="zh-CN"/>
        </w:rPr>
        <w:t>市场服务部</w:t>
      </w:r>
      <w:r>
        <w:rPr>
          <w:rFonts w:hint="eastAsia" w:ascii="微软雅黑" w:hAnsi="微软雅黑" w:eastAsia="微软雅黑"/>
          <w:sz w:val="24"/>
        </w:rPr>
        <w:t>负责为客户提供售前、售中、售后的服务以及所有投诉处理的协调和落实，同时每年对客户潜在不满进行分析，并将整改落实到责任部门。</w:t>
      </w:r>
    </w:p>
    <w:p>
      <w:pPr>
        <w:pStyle w:val="3"/>
        <w:bidi w:val="0"/>
      </w:pPr>
      <w:bookmarkStart w:id="10" w:name="_Toc1794"/>
      <w:r>
        <w:rPr>
          <w:rFonts w:hint="eastAsia"/>
          <w:lang w:val="en-US" w:eastAsia="zh-CN"/>
        </w:rPr>
        <w:t>四、</w:t>
      </w:r>
      <w:r>
        <w:rPr>
          <w:rFonts w:hint="eastAsia"/>
        </w:rPr>
        <w:t>质量管理基础</w:t>
      </w:r>
      <w:bookmarkEnd w:id="10"/>
    </w:p>
    <w:p>
      <w:pPr>
        <w:pStyle w:val="4"/>
        <w:bidi w:val="0"/>
        <w:rPr>
          <w:rFonts w:hint="eastAsia"/>
        </w:rPr>
      </w:pPr>
      <w:bookmarkStart w:id="11" w:name="_Toc30814"/>
      <w:r>
        <w:rPr>
          <w:rFonts w:hint="eastAsia"/>
        </w:rPr>
        <w:t>4.1标准管理</w:t>
      </w:r>
      <w:bookmarkEnd w:id="11"/>
    </w:p>
    <w:p>
      <w:pPr>
        <w:ind w:firstLine="480" w:firstLineChars="200"/>
        <w:rPr>
          <w:rFonts w:hint="eastAsia" w:ascii="微软雅黑" w:hAnsi="微软雅黑" w:eastAsia="微软雅黑"/>
          <w:sz w:val="24"/>
        </w:rPr>
      </w:pPr>
      <w:r>
        <w:rPr>
          <w:rFonts w:hint="eastAsia" w:ascii="微软雅黑" w:hAnsi="微软雅黑" w:eastAsia="微软雅黑"/>
          <w:sz w:val="24"/>
        </w:rPr>
        <w:t>面对市场的激烈竞争，我公司在严格按照国际、国标及行业标准进行生产管理及质量控制的同时，按照ISO9001:2015质量管理体系标准对产品设计开发、生产工艺流程管控、物资采购、产品营销、生产组织、制程控制、质量成本建立及控制进行管理。从原材料采购、来料</w:t>
      </w:r>
      <w:r>
        <w:rPr>
          <w:rFonts w:hint="eastAsia" w:ascii="微软雅黑" w:hAnsi="微软雅黑" w:eastAsia="微软雅黑"/>
          <w:sz w:val="24"/>
          <w:lang w:val="en-US" w:eastAsia="zh-CN"/>
        </w:rPr>
        <w:t>检验</w:t>
      </w:r>
      <w:r>
        <w:rPr>
          <w:rFonts w:hint="eastAsia" w:ascii="微软雅黑" w:hAnsi="微软雅黑" w:eastAsia="微软雅黑"/>
          <w:sz w:val="24"/>
        </w:rPr>
        <w:t>、生产过程、售后服务一条龙的生产管理上，公司秉承“</w:t>
      </w:r>
      <w:r>
        <w:rPr>
          <w:rFonts w:hint="eastAsia" w:ascii="微软雅黑" w:hAnsi="微软雅黑" w:eastAsia="微软雅黑"/>
          <w:sz w:val="24"/>
          <w:lang w:val="en-US" w:eastAsia="zh-CN"/>
        </w:rPr>
        <w:t>向客户承诺的是诚信，让客户体验的是满意</w:t>
      </w:r>
      <w:r>
        <w:rPr>
          <w:rFonts w:hint="eastAsia" w:ascii="微软雅黑" w:hAnsi="微软雅黑" w:eastAsia="微软雅黑"/>
          <w:sz w:val="24"/>
        </w:rPr>
        <w:t>”的质量</w:t>
      </w:r>
      <w:r>
        <w:rPr>
          <w:rFonts w:hint="eastAsia" w:ascii="微软雅黑" w:hAnsi="微软雅黑" w:eastAsia="微软雅黑"/>
          <w:sz w:val="24"/>
          <w:lang w:val="en-US" w:eastAsia="zh-CN"/>
        </w:rPr>
        <w:t>价值观</w:t>
      </w:r>
      <w:r>
        <w:rPr>
          <w:rFonts w:hint="eastAsia" w:ascii="微软雅黑" w:hAnsi="微软雅黑" w:eastAsia="微软雅黑"/>
          <w:sz w:val="24"/>
        </w:rPr>
        <w:t>，严格控制生产流程每道工序，确保产品质量。</w:t>
      </w:r>
    </w:p>
    <w:p>
      <w:pPr>
        <w:pStyle w:val="4"/>
        <w:bidi w:val="0"/>
      </w:pPr>
      <w:bookmarkStart w:id="12" w:name="_Toc13538"/>
      <w:r>
        <w:rPr>
          <w:rFonts w:hint="eastAsia"/>
        </w:rPr>
        <w:t>4.2计量管理</w:t>
      </w:r>
      <w:bookmarkEnd w:id="12"/>
    </w:p>
    <w:p>
      <w:pPr>
        <w:ind w:firstLine="480" w:firstLineChars="200"/>
        <w:rPr>
          <w:rFonts w:ascii="微软雅黑" w:hAnsi="微软雅黑" w:eastAsia="微软雅黑"/>
          <w:sz w:val="24"/>
        </w:rPr>
      </w:pPr>
      <w:r>
        <w:rPr>
          <w:rFonts w:hint="eastAsia" w:ascii="微软雅黑" w:hAnsi="微软雅黑" w:eastAsia="微软雅黑"/>
          <w:sz w:val="24"/>
        </w:rPr>
        <w:t>公司设立专门</w:t>
      </w:r>
      <w:r>
        <w:rPr>
          <w:rFonts w:hint="eastAsia" w:ascii="微软雅黑" w:hAnsi="微软雅黑" w:eastAsia="微软雅黑"/>
          <w:sz w:val="24"/>
          <w:lang w:val="en-US" w:eastAsia="zh-CN"/>
        </w:rPr>
        <w:t>试验房</w:t>
      </w:r>
      <w:r>
        <w:rPr>
          <w:rFonts w:hint="eastAsia" w:ascii="微软雅黑" w:hAnsi="微软雅黑" w:eastAsia="微软雅黑"/>
          <w:sz w:val="24"/>
        </w:rPr>
        <w:t>，负责公司计量仪器、仪表、监视装置的检定、校准、运行巡查、维护和专业保养，确保每台计量器具正常使用，做到测得准、量的精，为多出精品保驾护航</w:t>
      </w:r>
      <w:r>
        <w:rPr>
          <w:rFonts w:hint="eastAsia" w:ascii="微软雅黑" w:hAnsi="微软雅黑" w:eastAsia="微软雅黑"/>
          <w:color w:val="auto"/>
          <w:sz w:val="24"/>
          <w:highlight w:val="none"/>
        </w:rPr>
        <w:t>。</w:t>
      </w:r>
    </w:p>
    <w:p>
      <w:pPr>
        <w:pStyle w:val="4"/>
        <w:bidi w:val="0"/>
      </w:pPr>
      <w:bookmarkStart w:id="13" w:name="_Toc6976"/>
      <w:r>
        <w:rPr>
          <w:rFonts w:hint="eastAsia"/>
        </w:rPr>
        <w:t>4.3认证管理</w:t>
      </w:r>
      <w:bookmarkEnd w:id="13"/>
    </w:p>
    <w:p>
      <w:pPr>
        <w:ind w:firstLine="480" w:firstLineChars="200"/>
        <w:rPr>
          <w:rFonts w:ascii="微软雅黑" w:hAnsi="微软雅黑" w:eastAsia="微软雅黑"/>
          <w:sz w:val="24"/>
        </w:rPr>
      </w:pPr>
      <w:r>
        <w:rPr>
          <w:rFonts w:hint="eastAsia" w:ascii="微软雅黑" w:hAnsi="微软雅黑" w:eastAsia="微软雅黑"/>
          <w:sz w:val="24"/>
        </w:rPr>
        <w:t>公司通过ISO9001质量管理体系认证、ISO45001职业健康安全管理体系认证、ISO14001环境管理体系认证、</w:t>
      </w:r>
      <w:r>
        <w:rPr>
          <w:rFonts w:hint="eastAsia" w:ascii="微软雅黑" w:hAnsi="微软雅黑" w:eastAsia="微软雅黑"/>
          <w:sz w:val="24"/>
          <w:lang w:val="en-US" w:eastAsia="zh-CN"/>
        </w:rPr>
        <w:t>ISO50001及RB/T119能源</w:t>
      </w:r>
      <w:r>
        <w:rPr>
          <w:rFonts w:hint="eastAsia" w:ascii="微软雅黑" w:hAnsi="微软雅黑" w:eastAsia="微软雅黑"/>
          <w:sz w:val="24"/>
        </w:rPr>
        <w:t>管理体系认证。</w:t>
      </w:r>
    </w:p>
    <w:p>
      <w:pPr>
        <w:pStyle w:val="4"/>
        <w:bidi w:val="0"/>
      </w:pPr>
      <w:bookmarkStart w:id="14" w:name="_Toc27482"/>
      <w:r>
        <w:rPr>
          <w:rFonts w:hint="eastAsia"/>
        </w:rPr>
        <w:t>4.4检验检测管理</w:t>
      </w:r>
      <w:bookmarkEnd w:id="14"/>
    </w:p>
    <w:p>
      <w:pPr>
        <w:ind w:firstLine="480" w:firstLineChars="200"/>
        <w:rPr>
          <w:rFonts w:ascii="微软雅黑" w:hAnsi="微软雅黑" w:eastAsia="微软雅黑"/>
          <w:sz w:val="24"/>
        </w:rPr>
      </w:pPr>
      <w:r>
        <w:rPr>
          <w:rFonts w:hint="eastAsia" w:ascii="微软雅黑" w:hAnsi="微软雅黑" w:eastAsia="微软雅黑"/>
          <w:sz w:val="24"/>
        </w:rPr>
        <w:t>公司建立了检测试验设备台账，对所有使用的计量器具定期送校，同时制定了相应的维护保养制度和计划，按照规定进行维护和保养，确保检测设备完好，检测结果真实有效、准确，为准确判定产品质量水平提供依据，也为产品改善提供数据支持，今后仍会继续加强质检监督队伍的建设，加强日常操作技能和分析能力的培训和提升，完善监督机制，提高质量改进能力，增强权威性和有效性。</w:t>
      </w:r>
    </w:p>
    <w:p>
      <w:pPr>
        <w:pStyle w:val="3"/>
        <w:bidi w:val="0"/>
      </w:pPr>
      <w:bookmarkStart w:id="15" w:name="_Toc11421"/>
      <w:r>
        <w:rPr>
          <w:rFonts w:hint="eastAsia"/>
          <w:lang w:val="en-US" w:eastAsia="zh-CN"/>
        </w:rPr>
        <w:t>五、</w:t>
      </w:r>
      <w:r>
        <w:rPr>
          <w:rFonts w:hint="eastAsia"/>
        </w:rPr>
        <w:t>产品质量责任管理</w:t>
      </w:r>
      <w:bookmarkEnd w:id="15"/>
    </w:p>
    <w:p>
      <w:pPr>
        <w:pStyle w:val="4"/>
        <w:bidi w:val="0"/>
      </w:pPr>
      <w:bookmarkStart w:id="16" w:name="_Toc25234"/>
      <w:r>
        <w:rPr>
          <w:rFonts w:hint="eastAsia"/>
        </w:rPr>
        <w:t>5.1 产品质量水平</w:t>
      </w:r>
      <w:bookmarkEnd w:id="16"/>
    </w:p>
    <w:p>
      <w:pPr>
        <w:pStyle w:val="21"/>
        <w:ind w:left="0" w:leftChars="0" w:firstLine="480" w:firstLineChars="200"/>
        <w:rPr>
          <w:rFonts w:ascii="微软雅黑" w:hAnsi="微软雅黑" w:eastAsia="微软雅黑"/>
          <w:sz w:val="24"/>
        </w:rPr>
      </w:pPr>
      <w:r>
        <w:rPr>
          <w:rFonts w:hint="eastAsia" w:ascii="微软雅黑" w:hAnsi="微软雅黑" w:eastAsia="微软雅黑"/>
          <w:sz w:val="24"/>
        </w:rPr>
        <w:t>公司严格按照企业和行业标准进行生产、检验，产品各项技术性能指标均符合标准要求。</w:t>
      </w:r>
    </w:p>
    <w:p>
      <w:pPr>
        <w:pStyle w:val="4"/>
        <w:bidi w:val="0"/>
      </w:pPr>
      <w:bookmarkStart w:id="17" w:name="_Toc26665"/>
      <w:r>
        <w:rPr>
          <w:rFonts w:hint="eastAsia"/>
        </w:rPr>
        <w:t>5.2 产品售后责任</w:t>
      </w:r>
      <w:bookmarkEnd w:id="17"/>
    </w:p>
    <w:p>
      <w:pPr>
        <w:pStyle w:val="21"/>
        <w:rPr>
          <w:rFonts w:ascii="微软雅黑" w:hAnsi="微软雅黑" w:eastAsia="微软雅黑"/>
          <w:sz w:val="24"/>
        </w:rPr>
      </w:pPr>
      <w:r>
        <w:rPr>
          <w:rFonts w:hint="eastAsia" w:ascii="微软雅黑" w:hAnsi="微软雅黑" w:eastAsia="微软雅黑"/>
          <w:sz w:val="24"/>
        </w:rPr>
        <w:t>公司建立了完善的服务体系，确保产品在</w:t>
      </w:r>
      <w:r>
        <w:rPr>
          <w:rFonts w:hint="eastAsia" w:ascii="微软雅黑" w:hAnsi="微软雅黑" w:eastAsia="微软雅黑"/>
          <w:sz w:val="24"/>
          <w:lang w:val="en-US" w:eastAsia="zh-CN"/>
        </w:rPr>
        <w:t>保修期内</w:t>
      </w:r>
      <w:r>
        <w:rPr>
          <w:rFonts w:hint="eastAsia" w:ascii="微软雅黑" w:hAnsi="微软雅黑" w:eastAsia="微软雅黑"/>
          <w:sz w:val="24"/>
        </w:rPr>
        <w:t>能够得到及时、完善的服务，为客户带来权益保障，降低安全风险，树立良好的企业形象和品牌形象。</w:t>
      </w:r>
    </w:p>
    <w:p>
      <w:pPr>
        <w:pStyle w:val="4"/>
        <w:bidi w:val="0"/>
      </w:pPr>
      <w:bookmarkStart w:id="18" w:name="_Toc25325"/>
      <w:r>
        <w:rPr>
          <w:rFonts w:hint="eastAsia"/>
        </w:rPr>
        <w:t>5.3 企业社会责任</w:t>
      </w:r>
      <w:bookmarkEnd w:id="18"/>
    </w:p>
    <w:p>
      <w:pPr>
        <w:pStyle w:val="21"/>
        <w:rPr>
          <w:rFonts w:hint="eastAsia" w:ascii="微软雅黑" w:hAnsi="微软雅黑" w:eastAsia="微软雅黑"/>
          <w:sz w:val="24"/>
        </w:rPr>
      </w:pPr>
      <w:r>
        <w:rPr>
          <w:rFonts w:hint="eastAsia" w:ascii="微软雅黑" w:hAnsi="微软雅黑" w:eastAsia="微软雅黑"/>
          <w:sz w:val="24"/>
        </w:rPr>
        <w:t>2023年</w:t>
      </w:r>
      <w:r>
        <w:rPr>
          <w:rFonts w:hint="eastAsia" w:ascii="微软雅黑" w:hAnsi="微软雅黑" w:eastAsia="微软雅黑"/>
          <w:sz w:val="24"/>
          <w:lang w:val="en-US" w:eastAsia="zh-CN"/>
        </w:rPr>
        <w:t>公司在</w:t>
      </w:r>
      <w:r>
        <w:rPr>
          <w:rFonts w:hint="eastAsia" w:ascii="微软雅黑" w:hAnsi="微软雅黑" w:eastAsia="微软雅黑"/>
          <w:sz w:val="24"/>
        </w:rPr>
        <w:t>全体共同努力下取得了较为显著的成果，并得到了国家、省、市等各级以及社</w:t>
      </w:r>
      <w:r>
        <w:rPr>
          <w:rFonts w:hint="eastAsia" w:ascii="微软雅黑" w:hAnsi="微软雅黑" w:eastAsia="微软雅黑"/>
          <w:sz w:val="24"/>
          <w:highlight w:val="none"/>
        </w:rPr>
        <w:t>团组织的认可，其中国家级荣誉6项、省级荣誉26项、市级荣誉16项。</w:t>
      </w:r>
      <w:r>
        <w:rPr>
          <w:rFonts w:hint="eastAsia" w:ascii="微软雅黑" w:hAnsi="微软雅黑" w:eastAsia="微软雅黑"/>
          <w:sz w:val="24"/>
          <w:highlight w:val="none"/>
          <w:lang w:val="en-US" w:eastAsia="zh-CN"/>
        </w:rPr>
        <w:t>2020</w:t>
      </w:r>
      <w:r>
        <w:rPr>
          <w:rFonts w:hint="eastAsia" w:ascii="微软雅黑" w:hAnsi="微软雅黑" w:eastAsia="微软雅黑"/>
          <w:sz w:val="24"/>
          <w:highlight w:val="none"/>
        </w:rPr>
        <w:t>至2023年，共计申请专利26</w:t>
      </w:r>
      <w:r>
        <w:rPr>
          <w:rFonts w:hint="eastAsia" w:ascii="微软雅黑" w:hAnsi="微软雅黑" w:eastAsia="微软雅黑"/>
          <w:sz w:val="24"/>
          <w:highlight w:val="none"/>
          <w:lang w:val="en-US" w:eastAsia="zh-CN"/>
        </w:rPr>
        <w:t>3</w:t>
      </w:r>
      <w:r>
        <w:rPr>
          <w:rFonts w:hint="eastAsia" w:ascii="微软雅黑" w:hAnsi="微软雅黑" w:eastAsia="微软雅黑"/>
          <w:sz w:val="24"/>
          <w:highlight w:val="none"/>
        </w:rPr>
        <w:t>项，其中发明专利2</w:t>
      </w:r>
      <w:r>
        <w:rPr>
          <w:rFonts w:hint="eastAsia" w:ascii="微软雅黑" w:hAnsi="微软雅黑" w:eastAsia="微软雅黑"/>
          <w:sz w:val="24"/>
          <w:highlight w:val="none"/>
          <w:lang w:val="en-US" w:eastAsia="zh-CN"/>
        </w:rPr>
        <w:t>6</w:t>
      </w:r>
      <w:r>
        <w:rPr>
          <w:rFonts w:hint="eastAsia" w:ascii="微软雅黑" w:hAnsi="微软雅黑" w:eastAsia="微软雅黑"/>
          <w:sz w:val="24"/>
          <w:highlight w:val="none"/>
        </w:rPr>
        <w:t>项，实用新型专利23</w:t>
      </w:r>
      <w:r>
        <w:rPr>
          <w:rFonts w:hint="eastAsia" w:ascii="微软雅黑" w:hAnsi="微软雅黑" w:eastAsia="微软雅黑"/>
          <w:sz w:val="24"/>
          <w:highlight w:val="none"/>
          <w:lang w:val="en-US" w:eastAsia="zh-CN"/>
        </w:rPr>
        <w:t>6</w:t>
      </w:r>
      <w:r>
        <w:rPr>
          <w:rFonts w:hint="eastAsia" w:ascii="微软雅黑" w:hAnsi="微软雅黑" w:eastAsia="微软雅黑"/>
          <w:sz w:val="24"/>
          <w:highlight w:val="none"/>
        </w:rPr>
        <w:t>项，外观专利1项。授权专利累计</w:t>
      </w:r>
      <w:r>
        <w:rPr>
          <w:rFonts w:hint="eastAsia" w:ascii="微软雅黑" w:hAnsi="微软雅黑" w:eastAsia="微软雅黑"/>
          <w:sz w:val="24"/>
          <w:highlight w:val="none"/>
          <w:lang w:val="en-US" w:eastAsia="zh-CN"/>
        </w:rPr>
        <w:t>203项</w:t>
      </w:r>
      <w:r>
        <w:rPr>
          <w:rFonts w:hint="eastAsia" w:ascii="微软雅黑" w:hAnsi="微软雅黑" w:eastAsia="微软雅黑"/>
          <w:sz w:val="24"/>
          <w:highlight w:val="none"/>
        </w:rPr>
        <w:t>（其中发明</w:t>
      </w:r>
      <w:r>
        <w:rPr>
          <w:rFonts w:hint="eastAsia" w:ascii="微软雅黑" w:hAnsi="微软雅黑" w:eastAsia="微软雅黑"/>
          <w:sz w:val="24"/>
          <w:highlight w:val="none"/>
          <w:lang w:val="en-US" w:eastAsia="zh-CN"/>
        </w:rPr>
        <w:t>专利4项</w:t>
      </w:r>
      <w:r>
        <w:rPr>
          <w:rFonts w:hint="eastAsia" w:ascii="微软雅黑" w:hAnsi="微软雅黑" w:eastAsia="微软雅黑"/>
          <w:sz w:val="24"/>
          <w:highlight w:val="none"/>
        </w:rPr>
        <w:t>，外观1</w:t>
      </w:r>
      <w:r>
        <w:rPr>
          <w:rFonts w:hint="eastAsia" w:ascii="微软雅黑" w:hAnsi="微软雅黑" w:eastAsia="微软雅黑"/>
          <w:sz w:val="24"/>
          <w:highlight w:val="none"/>
          <w:lang w:val="en-US" w:eastAsia="zh-CN"/>
        </w:rPr>
        <w:t>项</w:t>
      </w:r>
      <w:r>
        <w:rPr>
          <w:rFonts w:hint="eastAsia" w:ascii="微软雅黑" w:hAnsi="微软雅黑" w:eastAsia="微软雅黑"/>
          <w:sz w:val="24"/>
          <w:highlight w:val="none"/>
        </w:rPr>
        <w:t>，实用新型</w:t>
      </w:r>
      <w:r>
        <w:rPr>
          <w:rFonts w:hint="eastAsia" w:ascii="微软雅黑" w:hAnsi="微软雅黑" w:eastAsia="微软雅黑"/>
          <w:sz w:val="24"/>
          <w:highlight w:val="none"/>
          <w:lang w:val="en-US" w:eastAsia="zh-CN"/>
        </w:rPr>
        <w:t>专利</w:t>
      </w:r>
      <w:r>
        <w:rPr>
          <w:rFonts w:hint="eastAsia" w:ascii="微软雅黑" w:hAnsi="微软雅黑" w:eastAsia="微软雅黑"/>
          <w:sz w:val="24"/>
          <w:highlight w:val="none"/>
        </w:rPr>
        <w:t>1</w:t>
      </w:r>
      <w:r>
        <w:rPr>
          <w:rFonts w:hint="eastAsia" w:ascii="微软雅黑" w:hAnsi="微软雅黑" w:eastAsia="微软雅黑"/>
          <w:sz w:val="24"/>
          <w:highlight w:val="none"/>
          <w:lang w:val="en-US" w:eastAsia="zh-CN"/>
        </w:rPr>
        <w:t>98项</w:t>
      </w:r>
      <w:r>
        <w:rPr>
          <w:rFonts w:hint="eastAsia" w:ascii="微软雅黑" w:hAnsi="微软雅黑" w:eastAsia="微软雅黑"/>
          <w:sz w:val="24"/>
          <w:highlight w:val="none"/>
        </w:rPr>
        <w:t>）。</w:t>
      </w:r>
      <w:r>
        <w:rPr>
          <w:rFonts w:hint="eastAsia" w:ascii="微软雅黑" w:hAnsi="微软雅黑" w:eastAsia="微软雅黑"/>
          <w:sz w:val="24"/>
        </w:rPr>
        <w:t>2023年开发四个系列储能行业的仿真方法，填补集装箱行业数字化研发领域标准的空白。牵头制定两项团体标准。《T/CCIASD 10005—2023 集装箱结构有限元分析指南》《T/CCIASD 10007—2023 冷藏集装箱用非金属门框试验方法》，不断提升企业在集装箱制造行业的影响力。</w:t>
      </w:r>
    </w:p>
    <w:p>
      <w:pPr>
        <w:pStyle w:val="21"/>
        <w:rPr>
          <w:rFonts w:hint="eastAsia" w:ascii="微软雅黑" w:hAnsi="微软雅黑" w:eastAsia="微软雅黑"/>
          <w:sz w:val="24"/>
        </w:rPr>
      </w:pPr>
      <w:r>
        <w:rPr>
          <w:rFonts w:hint="eastAsia" w:ascii="微软雅黑" w:hAnsi="微软雅黑" w:eastAsia="微软雅黑"/>
          <w:sz w:val="24"/>
          <w:lang w:val="en-US" w:eastAsia="zh-CN"/>
        </w:rPr>
        <w:t>公司</w:t>
      </w:r>
      <w:r>
        <w:rPr>
          <w:rFonts w:hint="eastAsia" w:ascii="微软雅黑" w:hAnsi="微软雅黑" w:eastAsia="微软雅黑"/>
          <w:sz w:val="24"/>
        </w:rPr>
        <w:t>参与全球首艘万吨级纯电池动力集装箱船“中远海运绿水01号”船用箱式电源项目</w:t>
      </w:r>
      <w:r>
        <w:rPr>
          <w:rFonts w:hint="eastAsia" w:ascii="微软雅黑" w:hAnsi="微软雅黑" w:eastAsia="微软雅黑"/>
          <w:sz w:val="24"/>
          <w:lang w:eastAsia="zh-CN"/>
        </w:rPr>
        <w:t>；</w:t>
      </w:r>
      <w:r>
        <w:rPr>
          <w:rFonts w:hint="eastAsia" w:ascii="微软雅黑" w:hAnsi="微软雅黑" w:eastAsia="微软雅黑"/>
          <w:sz w:val="24"/>
        </w:rPr>
        <w:t>全力推进折叠系列产品，持续创新商品车运输系列产品，提高海运装载运输效率，不断优化汽车运输新格局</w:t>
      </w:r>
      <w:r>
        <w:rPr>
          <w:rFonts w:hint="eastAsia" w:ascii="微软雅黑" w:hAnsi="微软雅黑" w:eastAsia="微软雅黑"/>
          <w:sz w:val="24"/>
          <w:lang w:eastAsia="zh-CN"/>
        </w:rPr>
        <w:t>；</w:t>
      </w:r>
      <w:r>
        <w:rPr>
          <w:rFonts w:hint="eastAsia" w:ascii="微软雅黑" w:hAnsi="微软雅黑" w:eastAsia="微软雅黑"/>
          <w:sz w:val="24"/>
        </w:rPr>
        <w:t>积极推进产融结合，协同开发新海轮渡司机驿站项目，共同改善道路运输从业人员工作生活环境</w:t>
      </w:r>
      <w:r>
        <w:rPr>
          <w:rFonts w:hint="eastAsia" w:ascii="微软雅黑" w:hAnsi="微软雅黑" w:eastAsia="微软雅黑"/>
          <w:sz w:val="24"/>
          <w:lang w:eastAsia="zh-CN"/>
        </w:rPr>
        <w:t>；</w:t>
      </w:r>
      <w:r>
        <w:rPr>
          <w:rFonts w:hint="eastAsia" w:ascii="微软雅黑" w:hAnsi="微软雅黑" w:eastAsia="微软雅黑"/>
          <w:sz w:val="24"/>
        </w:rPr>
        <w:t>服务生产经营中心，提高党建工作质量，以体系建设为主要方向，提升企业文化软实力主线开展。</w:t>
      </w:r>
      <w:r>
        <w:rPr>
          <w:rFonts w:hint="eastAsia" w:ascii="微软雅黑" w:hAnsi="微软雅黑" w:eastAsia="微软雅黑"/>
          <w:sz w:val="24"/>
          <w:lang w:val="en-US" w:eastAsia="zh-CN"/>
        </w:rPr>
        <w:t>公司</w:t>
      </w:r>
      <w:r>
        <w:rPr>
          <w:rFonts w:hint="eastAsia" w:ascii="微软雅黑" w:hAnsi="微软雅黑" w:eastAsia="微软雅黑"/>
          <w:sz w:val="24"/>
        </w:rPr>
        <w:t>全面学习贯彻习近平新时代中国特色社会主义思想和党的二十大精神，坚定不移坚持党对国有企业的领导，加强党的建设、全面推进从严治党，紧扣理论铸魂、融合发展、先锋堡垒、人才强企、文化聚力、正风肃纪六项行动，党政工团一体推进，以高质量党建引领启东箱厂高质量发展，实现建设健康幸福美丽爱心家园目标，助力集团实现建设一流的航运科技企业愿景。</w:t>
      </w:r>
    </w:p>
    <w:p>
      <w:pPr>
        <w:pStyle w:val="4"/>
        <w:bidi w:val="0"/>
      </w:pPr>
      <w:bookmarkStart w:id="19" w:name="_Toc2614"/>
      <w:r>
        <w:rPr>
          <w:rFonts w:hint="eastAsia"/>
        </w:rPr>
        <w:t>5.4 质量信用记录</w:t>
      </w:r>
      <w:bookmarkEnd w:id="19"/>
    </w:p>
    <w:p>
      <w:pPr>
        <w:pStyle w:val="21"/>
        <w:rPr>
          <w:rFonts w:ascii="微软雅黑" w:hAnsi="微软雅黑" w:eastAsia="微软雅黑"/>
          <w:sz w:val="24"/>
        </w:rPr>
      </w:pPr>
      <w:r>
        <w:rPr>
          <w:rFonts w:hint="eastAsia" w:ascii="微软雅黑" w:hAnsi="微软雅黑" w:eastAsia="微软雅黑"/>
          <w:sz w:val="24"/>
        </w:rPr>
        <w:t>企业在报告期内无违纪违法记录，无监督抽查不合格记录、无质量安全事故记录、没有发生：产品因质量问题被通报、退货、索赔及其他不良记录等质量方面的信用不良记录。</w:t>
      </w:r>
    </w:p>
    <w:p>
      <w:pPr>
        <w:pStyle w:val="3"/>
        <w:bidi w:val="0"/>
      </w:pPr>
      <w:bookmarkStart w:id="20" w:name="_Toc24331"/>
      <w:r>
        <w:rPr>
          <w:rFonts w:hint="eastAsia"/>
          <w:lang w:val="en-US" w:eastAsia="zh-CN"/>
        </w:rPr>
        <w:t>六、</w:t>
      </w:r>
      <w:r>
        <w:rPr>
          <w:rFonts w:hint="eastAsia"/>
        </w:rPr>
        <w:t>报告结束语</w:t>
      </w:r>
      <w:bookmarkEnd w:id="20"/>
    </w:p>
    <w:p>
      <w:pPr>
        <w:pStyle w:val="21"/>
        <w:ind w:left="0" w:leftChars="0" w:firstLine="480" w:firstLineChars="200"/>
        <w:rPr>
          <w:rFonts w:ascii="微软雅黑" w:hAnsi="微软雅黑" w:eastAsia="微软雅黑"/>
          <w:sz w:val="24"/>
        </w:rPr>
      </w:pPr>
      <w:r>
        <w:rPr>
          <w:rFonts w:hint="eastAsia" w:ascii="微软雅黑" w:hAnsi="微软雅黑" w:eastAsia="微软雅黑"/>
          <w:sz w:val="24"/>
          <w:lang w:eastAsia="zh-CN"/>
        </w:rPr>
        <w:t>寰宇东方国际集装箱（启东）有限公司</w:t>
      </w:r>
      <w:r>
        <w:rPr>
          <w:rFonts w:hint="eastAsia" w:ascii="微软雅黑" w:hAnsi="微软雅黑" w:eastAsia="微软雅黑"/>
          <w:sz w:val="24"/>
        </w:rPr>
        <w:t>把</w:t>
      </w:r>
      <w:r>
        <w:rPr>
          <w:rFonts w:hint="eastAsia" w:ascii="微软雅黑" w:hAnsi="微软雅黑" w:eastAsia="微软雅黑"/>
          <w:sz w:val="24"/>
          <w:lang w:eastAsia="zh-CN"/>
        </w:rPr>
        <w:t>“</w:t>
      </w:r>
      <w:r>
        <w:rPr>
          <w:rFonts w:hint="eastAsia" w:ascii="微软雅黑" w:hAnsi="微软雅黑" w:eastAsia="微软雅黑"/>
          <w:sz w:val="24"/>
          <w:lang w:val="en-US" w:eastAsia="zh-CN"/>
        </w:rPr>
        <w:t>向客户承诺的是诚信，让客户体验的是满意”</w:t>
      </w:r>
      <w:r>
        <w:rPr>
          <w:rFonts w:hint="eastAsia" w:ascii="微软雅黑" w:hAnsi="微软雅黑" w:eastAsia="微软雅黑"/>
          <w:sz w:val="24"/>
        </w:rPr>
        <w:t>质量</w:t>
      </w:r>
      <w:r>
        <w:rPr>
          <w:rFonts w:hint="eastAsia" w:ascii="微软雅黑" w:hAnsi="微软雅黑" w:eastAsia="微软雅黑"/>
          <w:sz w:val="24"/>
          <w:lang w:val="en-US" w:eastAsia="zh-CN"/>
        </w:rPr>
        <w:t>价值观</w:t>
      </w:r>
      <w:r>
        <w:rPr>
          <w:rFonts w:hint="eastAsia" w:ascii="微软雅黑" w:hAnsi="微软雅黑" w:eastAsia="微软雅黑"/>
          <w:sz w:val="24"/>
        </w:rPr>
        <w:t>深植于企业发展全过程，把诚信之本贯穿于生产经营的各个环节，坚持党建引领，文化赋能，深入落实上海寰宇</w:t>
      </w:r>
      <w:r>
        <w:rPr>
          <w:rFonts w:hint="eastAsia" w:ascii="微软雅黑" w:hAnsi="微软雅黑" w:eastAsia="微软雅黑"/>
          <w:sz w:val="24"/>
          <w:lang w:eastAsia="zh-CN"/>
        </w:rPr>
        <w:t>“</w:t>
      </w:r>
      <w:r>
        <w:rPr>
          <w:rFonts w:hint="eastAsia" w:ascii="微软雅黑" w:hAnsi="微软雅黑" w:eastAsia="微软雅黑"/>
          <w:sz w:val="24"/>
        </w:rPr>
        <w:t>三二一</w:t>
      </w:r>
      <w:r>
        <w:rPr>
          <w:rFonts w:hint="eastAsia" w:ascii="微软雅黑" w:hAnsi="微软雅黑" w:eastAsia="微软雅黑"/>
          <w:sz w:val="24"/>
          <w:lang w:eastAsia="zh-CN"/>
        </w:rPr>
        <w:t>”</w:t>
      </w:r>
      <w:r>
        <w:rPr>
          <w:rFonts w:hint="eastAsia" w:ascii="微软雅黑" w:hAnsi="微软雅黑" w:eastAsia="微软雅黑"/>
          <w:sz w:val="24"/>
        </w:rPr>
        <w:t>发展战略，聚焦新能源产业链协同，推进绿色低碳环保发展，以数字化</w:t>
      </w:r>
      <w:r>
        <w:rPr>
          <w:rFonts w:hint="eastAsia" w:ascii="微软雅黑" w:hAnsi="微软雅黑" w:eastAsia="微软雅黑"/>
          <w:sz w:val="24"/>
          <w:lang w:eastAsia="zh-CN"/>
        </w:rPr>
        <w:t>、</w:t>
      </w:r>
      <w:r>
        <w:rPr>
          <w:rFonts w:hint="eastAsia" w:ascii="微软雅黑" w:hAnsi="微软雅黑" w:eastAsia="微软雅黑"/>
          <w:sz w:val="24"/>
        </w:rPr>
        <w:t>信息化</w:t>
      </w:r>
      <w:r>
        <w:rPr>
          <w:rFonts w:hint="eastAsia" w:ascii="微软雅黑" w:hAnsi="微软雅黑" w:eastAsia="微软雅黑"/>
          <w:sz w:val="24"/>
          <w:lang w:eastAsia="zh-CN"/>
        </w:rPr>
        <w:t>、</w:t>
      </w:r>
      <w:r>
        <w:rPr>
          <w:rFonts w:hint="eastAsia" w:ascii="微软雅黑" w:hAnsi="微软雅黑" w:eastAsia="微软雅黑"/>
          <w:sz w:val="24"/>
        </w:rPr>
        <w:t>智能化提升加速企业转型升级，努力提升寰宇启东品牌形象，为保障</w:t>
      </w:r>
      <w:r>
        <w:rPr>
          <w:rFonts w:hint="eastAsia" w:ascii="微软雅黑" w:hAnsi="微软雅黑" w:eastAsia="微软雅黑"/>
          <w:sz w:val="24"/>
          <w:lang w:val="en-US" w:eastAsia="zh-CN"/>
        </w:rPr>
        <w:t>中远海运</w:t>
      </w:r>
      <w:r>
        <w:rPr>
          <w:rFonts w:hint="eastAsia" w:ascii="微软雅黑" w:hAnsi="微软雅黑" w:eastAsia="微软雅黑"/>
          <w:sz w:val="24"/>
        </w:rPr>
        <w:t>集团主业用箱，助力建设世界一流航运科技企业，做出积极贡献。</w:t>
      </w:r>
    </w:p>
    <w:p>
      <w:pPr>
        <w:pStyle w:val="21"/>
        <w:rPr>
          <w:rFonts w:ascii="微软雅黑" w:hAnsi="微软雅黑" w:eastAsia="微软雅黑"/>
          <w:sz w:val="24"/>
        </w:rPr>
      </w:pPr>
      <w:r>
        <w:rPr>
          <w:rFonts w:hint="eastAsia" w:ascii="微软雅黑" w:hAnsi="微软雅黑" w:eastAsia="微软雅黑"/>
          <w:sz w:val="24"/>
        </w:rPr>
        <w:t>本报告展现了公司在质量诚信方面</w:t>
      </w:r>
      <w:r>
        <w:rPr>
          <w:rFonts w:hint="eastAsia" w:ascii="微软雅黑" w:hAnsi="微软雅黑" w:eastAsia="微软雅黑"/>
          <w:sz w:val="24"/>
          <w:lang w:val="en-US" w:eastAsia="zh-CN"/>
        </w:rPr>
        <w:t>取得</w:t>
      </w:r>
      <w:r>
        <w:rPr>
          <w:rFonts w:hint="eastAsia" w:ascii="微软雅黑" w:hAnsi="微软雅黑" w:eastAsia="微软雅黑"/>
          <w:sz w:val="24"/>
        </w:rPr>
        <w:t>的一些成果</w:t>
      </w:r>
      <w:r>
        <w:rPr>
          <w:rFonts w:hint="eastAsia" w:ascii="微软雅黑" w:hAnsi="微软雅黑" w:eastAsia="微软雅黑"/>
          <w:sz w:val="24"/>
          <w:lang w:eastAsia="zh-CN"/>
        </w:rPr>
        <w:t>。</w:t>
      </w:r>
      <w:r>
        <w:rPr>
          <w:rFonts w:hint="eastAsia" w:ascii="微软雅黑" w:hAnsi="微软雅黑" w:eastAsia="微软雅黑"/>
          <w:sz w:val="24"/>
        </w:rPr>
        <w:t>总体来看，企业产品和服务的质量和诚信效果令人满意，无</w:t>
      </w:r>
      <w:r>
        <w:rPr>
          <w:rFonts w:hint="eastAsia" w:ascii="微软雅黑" w:hAnsi="微软雅黑" w:eastAsia="微软雅黑"/>
          <w:sz w:val="24"/>
          <w:lang w:val="en-US" w:eastAsia="zh-CN"/>
        </w:rPr>
        <w:t>重大</w:t>
      </w:r>
      <w:r>
        <w:rPr>
          <w:rFonts w:hint="eastAsia" w:ascii="微软雅黑" w:hAnsi="微软雅黑" w:eastAsia="微软雅黑"/>
          <w:sz w:val="24"/>
        </w:rPr>
        <w:t>质量投诉、无质量安全重大事故的结果</w:t>
      </w:r>
      <w:r>
        <w:rPr>
          <w:rFonts w:hint="eastAsia" w:ascii="微软雅黑" w:hAnsi="微软雅黑" w:eastAsia="微软雅黑"/>
          <w:sz w:val="24"/>
          <w:lang w:val="en-US" w:eastAsia="zh-CN"/>
        </w:rPr>
        <w:t>为本公司</w:t>
      </w:r>
      <w:r>
        <w:rPr>
          <w:rFonts w:hint="eastAsia" w:ascii="微软雅黑" w:hAnsi="微软雅黑" w:eastAsia="微软雅黑"/>
          <w:sz w:val="24"/>
        </w:rPr>
        <w:t>企业质量诚信管理</w:t>
      </w:r>
      <w:r>
        <w:rPr>
          <w:rFonts w:hint="eastAsia" w:ascii="微软雅黑" w:hAnsi="微软雅黑" w:eastAsia="微软雅黑"/>
          <w:sz w:val="24"/>
          <w:lang w:val="en-US" w:eastAsia="zh-CN"/>
        </w:rPr>
        <w:t>水平作出</w:t>
      </w:r>
      <w:r>
        <w:rPr>
          <w:rFonts w:hint="eastAsia" w:ascii="微软雅黑" w:hAnsi="微软雅黑" w:eastAsia="微软雅黑"/>
          <w:sz w:val="24"/>
        </w:rPr>
        <w:t>诠释。</w:t>
      </w:r>
    </w:p>
    <w:p>
      <w:pPr>
        <w:rPr>
          <w:rFonts w:ascii="微软雅黑" w:hAnsi="微软雅黑" w:eastAsia="微软雅黑"/>
          <w:sz w:val="24"/>
        </w:rPr>
      </w:pPr>
    </w:p>
    <w:p>
      <w:pPr>
        <w:rPr>
          <w:rFonts w:ascii="微软雅黑" w:hAnsi="微软雅黑" w:eastAsia="微软雅黑"/>
          <w:sz w:val="24"/>
        </w:rPr>
      </w:pPr>
    </w:p>
    <w:p>
      <w:pPr>
        <w:rPr>
          <w:rFonts w:ascii="微软雅黑" w:hAnsi="微软雅黑" w:eastAsia="微软雅黑"/>
          <w:sz w:val="24"/>
        </w:rPr>
      </w:pPr>
    </w:p>
    <w:p>
      <w:pPr>
        <w:rPr>
          <w:rFonts w:ascii="微软雅黑" w:hAnsi="微软雅黑" w:eastAsia="微软雅黑"/>
          <w:sz w:val="24"/>
        </w:rPr>
      </w:pPr>
    </w:p>
    <w:sectPr>
      <w:headerReference r:id="rId3" w:type="default"/>
      <w:pgSz w:w="11906" w:h="16838"/>
      <w:pgMar w:top="1440" w:right="1416"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18"/>
      </w:pBdr>
      <w:jc w:val="both"/>
      <w:rPr>
        <w:b/>
        <w:sz w:val="21"/>
      </w:rPr>
    </w:pPr>
    <w:r>
      <w:rPr>
        <w:rFonts w:hint="eastAsia"/>
        <w:b/>
        <w:sz w:val="21"/>
        <w:lang w:val="en-US" w:eastAsia="zh-CN"/>
      </w:rPr>
      <w:t>寰宇东方国际集装箱（启东）有限公司</w:t>
    </w:r>
    <w:r>
      <w:rPr>
        <w:b/>
        <w:sz w:val="21"/>
      </w:rPr>
      <w:t>企业质量信用报告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MzNjZTBiNTU5Y2Y2MTE3NGZlODgyYjYwMDJiZTMifQ=="/>
  </w:docVars>
  <w:rsids>
    <w:rsidRoot w:val="002F7994"/>
    <w:rsid w:val="000268EE"/>
    <w:rsid w:val="00075C9E"/>
    <w:rsid w:val="000848CE"/>
    <w:rsid w:val="00084D47"/>
    <w:rsid w:val="001568E6"/>
    <w:rsid w:val="00170A94"/>
    <w:rsid w:val="00172388"/>
    <w:rsid w:val="0023255E"/>
    <w:rsid w:val="002666F0"/>
    <w:rsid w:val="002D7475"/>
    <w:rsid w:val="002F7994"/>
    <w:rsid w:val="003616B6"/>
    <w:rsid w:val="00390876"/>
    <w:rsid w:val="003C522A"/>
    <w:rsid w:val="003E55F2"/>
    <w:rsid w:val="004167D7"/>
    <w:rsid w:val="004248E5"/>
    <w:rsid w:val="004256BF"/>
    <w:rsid w:val="00530AC6"/>
    <w:rsid w:val="005770FD"/>
    <w:rsid w:val="005A2003"/>
    <w:rsid w:val="005D0AA8"/>
    <w:rsid w:val="0064693E"/>
    <w:rsid w:val="006722DC"/>
    <w:rsid w:val="0075455C"/>
    <w:rsid w:val="00822D65"/>
    <w:rsid w:val="00846C17"/>
    <w:rsid w:val="008913B2"/>
    <w:rsid w:val="00957194"/>
    <w:rsid w:val="009E0B26"/>
    <w:rsid w:val="00A0373F"/>
    <w:rsid w:val="00A333E1"/>
    <w:rsid w:val="00AE3C67"/>
    <w:rsid w:val="00B25E2A"/>
    <w:rsid w:val="00B63D7A"/>
    <w:rsid w:val="00BE5DB6"/>
    <w:rsid w:val="00CB3C0E"/>
    <w:rsid w:val="00D214C4"/>
    <w:rsid w:val="00D9165C"/>
    <w:rsid w:val="00DA423E"/>
    <w:rsid w:val="00E11C05"/>
    <w:rsid w:val="00E75955"/>
    <w:rsid w:val="00E83E10"/>
    <w:rsid w:val="00F5725E"/>
    <w:rsid w:val="00F80E13"/>
    <w:rsid w:val="00FA6681"/>
    <w:rsid w:val="02624152"/>
    <w:rsid w:val="02703C5A"/>
    <w:rsid w:val="02E26DED"/>
    <w:rsid w:val="05682CDD"/>
    <w:rsid w:val="0CEA11CC"/>
    <w:rsid w:val="0E064CEF"/>
    <w:rsid w:val="0E6D03E8"/>
    <w:rsid w:val="162C3B12"/>
    <w:rsid w:val="1F6E7A26"/>
    <w:rsid w:val="20631911"/>
    <w:rsid w:val="208966CC"/>
    <w:rsid w:val="22DA25F2"/>
    <w:rsid w:val="2B6932E6"/>
    <w:rsid w:val="367D70F0"/>
    <w:rsid w:val="37141D24"/>
    <w:rsid w:val="394F05E9"/>
    <w:rsid w:val="3C3F5917"/>
    <w:rsid w:val="3CF01DB1"/>
    <w:rsid w:val="42C26FB4"/>
    <w:rsid w:val="46BE6EDA"/>
    <w:rsid w:val="4AA76580"/>
    <w:rsid w:val="4B9B276C"/>
    <w:rsid w:val="4C421DAA"/>
    <w:rsid w:val="4D77531E"/>
    <w:rsid w:val="51B25C82"/>
    <w:rsid w:val="589D0B43"/>
    <w:rsid w:val="593826CE"/>
    <w:rsid w:val="5C381321"/>
    <w:rsid w:val="5D264DA7"/>
    <w:rsid w:val="5D503026"/>
    <w:rsid w:val="6861498F"/>
    <w:rsid w:val="6AB066A2"/>
    <w:rsid w:val="6BDE58E8"/>
    <w:rsid w:val="6BF94E11"/>
    <w:rsid w:val="710C6925"/>
    <w:rsid w:val="72995D16"/>
    <w:rsid w:val="76025178"/>
    <w:rsid w:val="78375F4C"/>
    <w:rsid w:val="7B5E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autoRedefine/>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autoRedefine/>
    <w:semiHidden/>
    <w:unhideWhenUsed/>
    <w:qFormat/>
    <w:uiPriority w:val="39"/>
    <w:pPr>
      <w:widowControl/>
      <w:spacing w:after="100" w:line="276" w:lineRule="auto"/>
      <w:ind w:left="440"/>
      <w:jc w:val="left"/>
    </w:pPr>
    <w:rPr>
      <w:kern w:val="0"/>
      <w:sz w:val="22"/>
    </w:rPr>
  </w:style>
  <w:style w:type="paragraph" w:styleId="7">
    <w:name w:val="Date"/>
    <w:basedOn w:val="1"/>
    <w:next w:val="1"/>
    <w:link w:val="20"/>
    <w:autoRedefine/>
    <w:semiHidden/>
    <w:unhideWhenUsed/>
    <w:qFormat/>
    <w:uiPriority w:val="99"/>
    <w:pPr>
      <w:ind w:left="100" w:leftChars="25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pPr>
      <w:widowControl/>
      <w:spacing w:after="100" w:line="276" w:lineRule="auto"/>
      <w:jc w:val="left"/>
    </w:pPr>
    <w:rPr>
      <w:kern w:val="0"/>
      <w:sz w:val="22"/>
    </w:rPr>
  </w:style>
  <w:style w:type="paragraph" w:styleId="12">
    <w:name w:val="toc 2"/>
    <w:basedOn w:val="1"/>
    <w:next w:val="1"/>
    <w:autoRedefine/>
    <w:unhideWhenUsed/>
    <w:qFormat/>
    <w:uiPriority w:val="39"/>
    <w:pPr>
      <w:widowControl/>
      <w:spacing w:after="100" w:line="276" w:lineRule="auto"/>
      <w:ind w:left="220"/>
      <w:jc w:val="left"/>
    </w:pPr>
    <w:rPr>
      <w:kern w:val="0"/>
      <w:sz w:val="22"/>
    </w:rPr>
  </w:style>
  <w:style w:type="paragraph" w:styleId="1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0"/>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页眉 Char"/>
    <w:basedOn w:val="15"/>
    <w:link w:val="10"/>
    <w:autoRedefine/>
    <w:qFormat/>
    <w:uiPriority w:val="99"/>
    <w:rPr>
      <w:sz w:val="18"/>
      <w:szCs w:val="18"/>
    </w:rPr>
  </w:style>
  <w:style w:type="character" w:customStyle="1" w:styleId="19">
    <w:name w:val="页脚 Char"/>
    <w:basedOn w:val="15"/>
    <w:link w:val="9"/>
    <w:autoRedefine/>
    <w:qFormat/>
    <w:uiPriority w:val="99"/>
    <w:rPr>
      <w:sz w:val="18"/>
      <w:szCs w:val="18"/>
    </w:rPr>
  </w:style>
  <w:style w:type="character" w:customStyle="1" w:styleId="20">
    <w:name w:val="日期 Char"/>
    <w:basedOn w:val="15"/>
    <w:link w:val="7"/>
    <w:autoRedefine/>
    <w:semiHidden/>
    <w:qFormat/>
    <w:uiPriority w:val="99"/>
  </w:style>
  <w:style w:type="paragraph" w:styleId="21">
    <w:name w:val="List Paragraph"/>
    <w:basedOn w:val="1"/>
    <w:autoRedefine/>
    <w:qFormat/>
    <w:uiPriority w:val="34"/>
    <w:pPr>
      <w:ind w:firstLine="420" w:firstLineChars="200"/>
    </w:pPr>
  </w:style>
  <w:style w:type="character" w:customStyle="1" w:styleId="22">
    <w:name w:val="批注框文本 Char"/>
    <w:basedOn w:val="15"/>
    <w:link w:val="8"/>
    <w:semiHidden/>
    <w:qFormat/>
    <w:uiPriority w:val="99"/>
    <w:rPr>
      <w:sz w:val="18"/>
      <w:szCs w:val="18"/>
    </w:rPr>
  </w:style>
  <w:style w:type="character" w:customStyle="1" w:styleId="23">
    <w:name w:val="标题 1 Char"/>
    <w:basedOn w:val="15"/>
    <w:link w:val="2"/>
    <w:qFormat/>
    <w:uiPriority w:val="9"/>
    <w:rPr>
      <w:b/>
      <w:bCs/>
      <w:kern w:val="44"/>
      <w:sz w:val="44"/>
      <w:szCs w:val="44"/>
    </w:rPr>
  </w:style>
  <w:style w:type="paragraph" w:customStyle="1" w:styleId="24">
    <w:name w:val="TOC 标题1"/>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7468-454D-4B28-ACFE-5CBDA3B6C73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1079</Words>
  <Characters>6156</Characters>
  <Lines>51</Lines>
  <Paragraphs>14</Paragraphs>
  <TotalTime>2</TotalTime>
  <ScaleCrop>false</ScaleCrop>
  <LinksUpToDate>false</LinksUpToDate>
  <CharactersWithSpaces>7221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2022-04-01T02:38:00Z</dcterms:created>
  <dc:creator>MicroSoft</dc:creator>
  <cp:lastModifiedBy>追風</cp:lastModifiedBy>
  <dcterms:modified xsi:type="dcterms:W3CDTF">2024-04-10T07:31:53Z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E9774302BC044299AA868E9E8A78F67C</vt:lpwstr>
  </property>
</Properties>
</file>